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DD" w:rsidRDefault="004A1040">
      <w:bookmarkStart w:id="0" w:name="_GoBack"/>
      <w:bookmarkEnd w:id="0"/>
      <w:r>
        <w:rPr>
          <w:noProof/>
          <w:lang w:eastAsia="en-GB"/>
        </w:rPr>
        <w:drawing>
          <wp:anchor distT="0" distB="0" distL="114300" distR="114300" simplePos="0" relativeHeight="251669504" behindDoc="1" locked="0" layoutInCell="1" allowOverlap="1">
            <wp:simplePos x="0" y="0"/>
            <wp:positionH relativeFrom="margin">
              <wp:posOffset>1163743</wp:posOffset>
            </wp:positionH>
            <wp:positionV relativeFrom="paragraph">
              <wp:posOffset>-549910</wp:posOffset>
            </wp:positionV>
            <wp:extent cx="2980267" cy="161659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de steve-biko-logo-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0267" cy="1616595"/>
                    </a:xfrm>
                    <a:prstGeom prst="rect">
                      <a:avLst/>
                    </a:prstGeom>
                  </pic:spPr>
                </pic:pic>
              </a:graphicData>
            </a:graphic>
            <wp14:sizeRelH relativeFrom="margin">
              <wp14:pctWidth>0</wp14:pctWidth>
            </wp14:sizeRelH>
            <wp14:sizeRelV relativeFrom="margin">
              <wp14:pctHeight>0</wp14:pctHeight>
            </wp14:sizeRelV>
          </wp:anchor>
        </w:drawing>
      </w:r>
    </w:p>
    <w:p w:rsidR="002427A2" w:rsidRDefault="002427A2"/>
    <w:p w:rsidR="002427A2" w:rsidRDefault="002427A2" w:rsidP="002427A2">
      <w:pPr>
        <w:pStyle w:val="Title"/>
      </w:pPr>
    </w:p>
    <w:p w:rsidR="002427A2" w:rsidRDefault="002427A2" w:rsidP="002427A2">
      <w:pPr>
        <w:rPr>
          <w:rFonts w:ascii="Arial" w:hAnsi="Arial" w:cs="Arial"/>
          <w:b/>
        </w:rPr>
      </w:pPr>
    </w:p>
    <w:p w:rsidR="002427A2" w:rsidRDefault="002427A2" w:rsidP="002427A2"/>
    <w:p w:rsidR="002427A2" w:rsidRDefault="002427A2" w:rsidP="002427A2">
      <w:pPr>
        <w:jc w:val="right"/>
      </w:pPr>
    </w:p>
    <w:p w:rsidR="002427A2" w:rsidRPr="004A1040" w:rsidRDefault="002427A2" w:rsidP="002427A2">
      <w:pPr>
        <w:jc w:val="right"/>
        <w:rPr>
          <w:sz w:val="10"/>
        </w:rPr>
      </w:pPr>
    </w:p>
    <w:p w:rsidR="002427A2" w:rsidRDefault="002427A2" w:rsidP="002427A2">
      <w:pPr>
        <w:jc w:val="right"/>
      </w:pPr>
    </w:p>
    <w:p w:rsidR="002427A2" w:rsidRPr="004A1040" w:rsidRDefault="002427A2" w:rsidP="004A1040">
      <w:pPr>
        <w:rPr>
          <w:rFonts w:ascii="Tahoma" w:hAnsi="Tahoma" w:cs="Tahoma"/>
          <w:b/>
          <w:sz w:val="8"/>
          <w:szCs w:val="32"/>
        </w:rPr>
      </w:pPr>
    </w:p>
    <w:p w:rsidR="002427A2" w:rsidRPr="00C16B49" w:rsidRDefault="002427A2" w:rsidP="002427A2">
      <w:pPr>
        <w:jc w:val="center"/>
        <w:rPr>
          <w:rFonts w:ascii="Tahoma" w:hAnsi="Tahoma" w:cs="Tahoma"/>
          <w:b/>
          <w:sz w:val="32"/>
          <w:szCs w:val="32"/>
        </w:rPr>
      </w:pPr>
      <w:r w:rsidRPr="00C16B49">
        <w:rPr>
          <w:rFonts w:ascii="Tahoma" w:hAnsi="Tahoma" w:cs="Tahoma"/>
          <w:b/>
          <w:sz w:val="32"/>
          <w:szCs w:val="32"/>
        </w:rPr>
        <w:t>STEVE BIKO HOUSING ASSOCIATION</w:t>
      </w:r>
    </w:p>
    <w:p w:rsidR="002427A2" w:rsidRPr="00C16B49" w:rsidRDefault="002427A2" w:rsidP="002427A2">
      <w:pPr>
        <w:jc w:val="center"/>
        <w:rPr>
          <w:rFonts w:ascii="Tahoma" w:hAnsi="Tahoma" w:cs="Tahoma"/>
          <w:b/>
          <w:sz w:val="32"/>
          <w:szCs w:val="32"/>
        </w:rPr>
      </w:pPr>
    </w:p>
    <w:p w:rsidR="002427A2" w:rsidRPr="00C16B49" w:rsidRDefault="002427A2" w:rsidP="002427A2">
      <w:pPr>
        <w:jc w:val="center"/>
        <w:rPr>
          <w:rFonts w:ascii="Tahoma" w:hAnsi="Tahoma" w:cs="Tahoma"/>
          <w:b/>
          <w:sz w:val="32"/>
          <w:szCs w:val="32"/>
        </w:rPr>
      </w:pPr>
      <w:r w:rsidRPr="00C16B49">
        <w:rPr>
          <w:rFonts w:ascii="Tahoma" w:hAnsi="Tahoma" w:cs="Tahoma"/>
          <w:b/>
          <w:sz w:val="32"/>
          <w:szCs w:val="32"/>
        </w:rPr>
        <w:t>20</w:t>
      </w:r>
      <w:r>
        <w:rPr>
          <w:rFonts w:ascii="Tahoma" w:hAnsi="Tahoma" w:cs="Tahoma"/>
          <w:b/>
          <w:sz w:val="32"/>
          <w:szCs w:val="32"/>
        </w:rPr>
        <w:t>1</w:t>
      </w:r>
      <w:r w:rsidR="008F7E65">
        <w:rPr>
          <w:rFonts w:ascii="Tahoma" w:hAnsi="Tahoma" w:cs="Tahoma"/>
          <w:b/>
          <w:sz w:val="32"/>
          <w:szCs w:val="32"/>
        </w:rPr>
        <w:t>7</w:t>
      </w:r>
      <w:r w:rsidR="004A1040">
        <w:rPr>
          <w:rFonts w:ascii="Tahoma" w:hAnsi="Tahoma" w:cs="Tahoma"/>
          <w:b/>
          <w:sz w:val="32"/>
          <w:szCs w:val="32"/>
        </w:rPr>
        <w:t>/201</w:t>
      </w:r>
      <w:r w:rsidR="008F7E65">
        <w:rPr>
          <w:rFonts w:ascii="Tahoma" w:hAnsi="Tahoma" w:cs="Tahoma"/>
          <w:b/>
          <w:sz w:val="32"/>
          <w:szCs w:val="32"/>
        </w:rPr>
        <w:t>8</w:t>
      </w:r>
      <w:r w:rsidRPr="00C16B49">
        <w:rPr>
          <w:rFonts w:ascii="Tahoma" w:hAnsi="Tahoma" w:cs="Tahoma"/>
          <w:b/>
          <w:sz w:val="32"/>
          <w:szCs w:val="32"/>
        </w:rPr>
        <w:t xml:space="preserve"> ANNUAL REPORT</w:t>
      </w:r>
    </w:p>
    <w:p w:rsidR="002427A2" w:rsidRPr="004A1040" w:rsidRDefault="002427A2" w:rsidP="002427A2">
      <w:pPr>
        <w:jc w:val="center"/>
        <w:rPr>
          <w:rFonts w:ascii="Tahoma" w:hAnsi="Tahoma" w:cs="Tahoma"/>
          <w:b/>
          <w:sz w:val="18"/>
          <w:szCs w:val="36"/>
        </w:rPr>
      </w:pPr>
    </w:p>
    <w:p w:rsidR="002427A2" w:rsidRDefault="003B52EB" w:rsidP="002427A2">
      <w:pPr>
        <w:jc w:val="center"/>
        <w:rPr>
          <w:rFonts w:ascii="Tahoma" w:hAnsi="Tahoma" w:cs="Tahoma"/>
          <w:b/>
          <w:sz w:val="36"/>
          <w:szCs w:val="36"/>
        </w:rPr>
      </w:pPr>
      <w:r w:rsidRPr="003B52EB">
        <w:rPr>
          <w:rFonts w:ascii="Tahoma" w:hAnsi="Tahoma" w:cs="Tahoma"/>
          <w:b/>
          <w:noProof/>
          <w:lang w:eastAsia="en-GB"/>
        </w:rPr>
        <w:drawing>
          <wp:inline distT="0" distB="0" distL="0" distR="0" wp14:anchorId="56B0DDB0" wp14:editId="5A359D86">
            <wp:extent cx="5467350" cy="3905250"/>
            <wp:effectExtent l="0" t="0" r="0" b="0"/>
            <wp:docPr id="2" name="Picture 2" descr="C:\Users\beverley.betteridge\AppData\Local\Microsoft\Windows\INetCache\Content.Outlook\2S7J1PHE\30th Anniversar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ey.betteridge\AppData\Local\Microsoft\Windows\INetCache\Content.Outlook\2S7J1PHE\30th Anniversary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9327" cy="3920948"/>
                    </a:xfrm>
                    <a:prstGeom prst="rect">
                      <a:avLst/>
                    </a:prstGeom>
                    <a:noFill/>
                    <a:ln>
                      <a:noFill/>
                    </a:ln>
                  </pic:spPr>
                </pic:pic>
              </a:graphicData>
            </a:graphic>
          </wp:inline>
        </w:drawing>
      </w:r>
    </w:p>
    <w:p w:rsidR="002427A2" w:rsidRDefault="002427A2" w:rsidP="002427A2">
      <w:pPr>
        <w:rPr>
          <w:rFonts w:ascii="Tahoma" w:hAnsi="Tahoma" w:cs="Tahoma"/>
          <w:b/>
        </w:rPr>
      </w:pPr>
    </w:p>
    <w:p w:rsidR="004A1040" w:rsidRDefault="004A1040" w:rsidP="002427A2">
      <w:pPr>
        <w:rPr>
          <w:rFonts w:ascii="Tahoma" w:hAnsi="Tahoma" w:cs="Tahoma"/>
          <w:b/>
        </w:rPr>
      </w:pPr>
    </w:p>
    <w:p w:rsidR="004A1040" w:rsidRDefault="004A1040" w:rsidP="002427A2">
      <w:pPr>
        <w:rPr>
          <w:rFonts w:ascii="Tahoma" w:hAnsi="Tahoma" w:cs="Tahoma"/>
          <w:b/>
        </w:rPr>
      </w:pPr>
    </w:p>
    <w:p w:rsidR="004A1040" w:rsidRDefault="004A1040" w:rsidP="002427A2">
      <w:pPr>
        <w:rPr>
          <w:rFonts w:ascii="Tahoma" w:hAnsi="Tahoma" w:cs="Tahoma"/>
          <w:b/>
        </w:rPr>
      </w:pPr>
    </w:p>
    <w:p w:rsidR="004A1040" w:rsidRPr="004A1040" w:rsidRDefault="004A1040" w:rsidP="002427A2">
      <w:pPr>
        <w:rPr>
          <w:rFonts w:ascii="Tahoma" w:hAnsi="Tahoma" w:cs="Tahoma"/>
          <w:b/>
          <w:sz w:val="22"/>
        </w:rPr>
      </w:pPr>
    </w:p>
    <w:p w:rsidR="002427A2" w:rsidRDefault="002427A2" w:rsidP="00196A2D">
      <w:pPr>
        <w:jc w:val="center"/>
        <w:rPr>
          <w:rFonts w:ascii="Tahoma" w:hAnsi="Tahoma" w:cs="Tahoma"/>
          <w:b/>
          <w:sz w:val="22"/>
        </w:rPr>
      </w:pPr>
      <w:r w:rsidRPr="004A1040">
        <w:rPr>
          <w:rFonts w:ascii="Tahoma" w:hAnsi="Tahoma" w:cs="Tahoma"/>
          <w:b/>
          <w:sz w:val="22"/>
        </w:rPr>
        <w:t>Registered with the Homes and Communities Agency No L3711</w:t>
      </w:r>
    </w:p>
    <w:p w:rsidR="006E1463" w:rsidRPr="004A1040" w:rsidRDefault="006E1463" w:rsidP="00196A2D">
      <w:pPr>
        <w:jc w:val="center"/>
        <w:rPr>
          <w:rFonts w:ascii="Tahoma" w:hAnsi="Tahoma" w:cs="Tahoma"/>
          <w:b/>
          <w:sz w:val="22"/>
        </w:rPr>
      </w:pPr>
    </w:p>
    <w:p w:rsidR="002427A2" w:rsidRDefault="002427A2" w:rsidP="00196A2D">
      <w:pPr>
        <w:jc w:val="center"/>
        <w:rPr>
          <w:rFonts w:ascii="Tahoma" w:hAnsi="Tahoma" w:cs="Tahoma"/>
          <w:b/>
          <w:sz w:val="22"/>
        </w:rPr>
      </w:pPr>
      <w:r w:rsidRPr="004A1040">
        <w:rPr>
          <w:rFonts w:ascii="Tahoma" w:hAnsi="Tahoma" w:cs="Tahoma"/>
          <w:b/>
          <w:sz w:val="22"/>
        </w:rPr>
        <w:t>Registered as a Social Provider Registered Society with the Financial Conduct Authority 24187R</w:t>
      </w:r>
    </w:p>
    <w:p w:rsidR="006E1463" w:rsidRPr="004A1040" w:rsidRDefault="006E1463" w:rsidP="00196A2D">
      <w:pPr>
        <w:jc w:val="center"/>
        <w:rPr>
          <w:rFonts w:ascii="Tahoma" w:hAnsi="Tahoma" w:cs="Tahoma"/>
          <w:b/>
          <w:sz w:val="22"/>
        </w:rPr>
      </w:pPr>
    </w:p>
    <w:p w:rsidR="002427A2" w:rsidRPr="004A1040" w:rsidRDefault="002427A2" w:rsidP="00196A2D">
      <w:pPr>
        <w:jc w:val="center"/>
        <w:rPr>
          <w:rFonts w:ascii="Tahoma" w:hAnsi="Tahoma" w:cs="Tahoma"/>
          <w:b/>
          <w:sz w:val="22"/>
        </w:rPr>
      </w:pPr>
      <w:r w:rsidRPr="004A1040">
        <w:rPr>
          <w:rFonts w:ascii="Tahoma" w:hAnsi="Tahoma" w:cs="Tahoma"/>
          <w:b/>
          <w:sz w:val="22"/>
        </w:rPr>
        <w:t>Registered Office: 19 Devonshire Road Liverpool L8 3TX</w:t>
      </w:r>
    </w:p>
    <w:p w:rsidR="002427A2" w:rsidRPr="004A1040" w:rsidRDefault="002427A2" w:rsidP="00196A2D">
      <w:pPr>
        <w:jc w:val="center"/>
        <w:rPr>
          <w:rFonts w:ascii="Tahoma" w:hAnsi="Tahoma" w:cs="Tahoma"/>
          <w:b/>
        </w:rPr>
      </w:pPr>
    </w:p>
    <w:p w:rsidR="002427A2" w:rsidRPr="004A1040" w:rsidRDefault="00D50A2C" w:rsidP="00196A2D">
      <w:pPr>
        <w:jc w:val="center"/>
        <w:rPr>
          <w:rFonts w:ascii="Tahoma" w:hAnsi="Tahoma" w:cs="Tahoma"/>
          <w:b/>
          <w:sz w:val="22"/>
        </w:rPr>
      </w:pPr>
      <w:r w:rsidRPr="004A1040">
        <w:rPr>
          <w:rFonts w:ascii="Tahoma" w:hAnsi="Tahoma" w:cs="Tahoma"/>
          <w:b/>
          <w:sz w:val="22"/>
        </w:rPr>
        <w:t>Member</w:t>
      </w:r>
      <w:r w:rsidR="002427A2" w:rsidRPr="004A1040">
        <w:rPr>
          <w:rFonts w:ascii="Tahoma" w:hAnsi="Tahoma" w:cs="Tahoma"/>
          <w:b/>
          <w:sz w:val="22"/>
        </w:rPr>
        <w:t xml:space="preserve"> of the National Housing Federation</w:t>
      </w:r>
    </w:p>
    <w:p w:rsidR="004A1040" w:rsidRPr="00196A2D" w:rsidRDefault="00D50A2C" w:rsidP="00196A2D">
      <w:pPr>
        <w:jc w:val="center"/>
        <w:rPr>
          <w:rFonts w:ascii="Tahoma" w:hAnsi="Tahoma" w:cs="Tahoma"/>
          <w:b/>
          <w:sz w:val="22"/>
        </w:rPr>
      </w:pPr>
      <w:r w:rsidRPr="004A1040">
        <w:rPr>
          <w:rFonts w:ascii="Tahoma" w:hAnsi="Tahoma" w:cs="Tahoma"/>
          <w:b/>
          <w:sz w:val="22"/>
        </w:rPr>
        <w:t>Member</w:t>
      </w:r>
      <w:r w:rsidR="002427A2" w:rsidRPr="004A1040">
        <w:rPr>
          <w:rFonts w:ascii="Tahoma" w:hAnsi="Tahoma" w:cs="Tahoma"/>
          <w:b/>
          <w:sz w:val="22"/>
        </w:rPr>
        <w:t xml:space="preserve"> of BME National</w:t>
      </w:r>
    </w:p>
    <w:p w:rsidR="003B52EB" w:rsidRDefault="003B52EB">
      <w:pPr>
        <w:rPr>
          <w:rFonts w:ascii="Comic Sans MS" w:hAnsi="Comic Sans MS"/>
          <w:b/>
          <w:sz w:val="32"/>
          <w:szCs w:val="32"/>
        </w:rPr>
      </w:pPr>
    </w:p>
    <w:p w:rsidR="002427A2" w:rsidRDefault="002427A2">
      <w:pPr>
        <w:rPr>
          <w:rFonts w:ascii="Comic Sans MS" w:hAnsi="Comic Sans MS"/>
          <w:b/>
          <w:sz w:val="32"/>
          <w:szCs w:val="32"/>
        </w:rPr>
      </w:pPr>
      <w:r>
        <w:rPr>
          <w:rFonts w:ascii="Comic Sans MS" w:hAnsi="Comic Sans MS"/>
          <w:b/>
          <w:sz w:val="32"/>
          <w:szCs w:val="32"/>
        </w:rPr>
        <w:t>Chairs Report</w:t>
      </w:r>
    </w:p>
    <w:p w:rsidR="002427A2" w:rsidRPr="002427A2" w:rsidRDefault="002427A2" w:rsidP="002427A2">
      <w:pPr>
        <w:rPr>
          <w:rFonts w:ascii="Comic Sans MS" w:hAnsi="Comic Sans MS"/>
          <w:sz w:val="32"/>
          <w:szCs w:val="32"/>
        </w:rPr>
      </w:pPr>
    </w:p>
    <w:p w:rsidR="002427A2" w:rsidRPr="00C6129D" w:rsidRDefault="001D0066" w:rsidP="002427A2">
      <w:pPr>
        <w:rPr>
          <w:rFonts w:ascii="Comic Sans MS" w:hAnsi="Comic Sans MS"/>
          <w:sz w:val="28"/>
          <w:szCs w:val="28"/>
        </w:rPr>
      </w:pPr>
      <w:r w:rsidRPr="00C6129D">
        <w:rPr>
          <w:rFonts w:ascii="Comic Sans MS" w:hAnsi="Comic Sans MS"/>
          <w:sz w:val="28"/>
          <w:szCs w:val="28"/>
        </w:rPr>
        <w:t>It is with great pleasure that I present my annual report to the tenants and stakeholders of Steve Biko Housing Association (SBHA).</w:t>
      </w:r>
    </w:p>
    <w:p w:rsidR="001D0066" w:rsidRPr="00C6129D" w:rsidRDefault="001D0066" w:rsidP="002427A2">
      <w:pPr>
        <w:rPr>
          <w:rFonts w:ascii="Comic Sans MS" w:hAnsi="Comic Sans MS"/>
          <w:sz w:val="28"/>
          <w:szCs w:val="28"/>
        </w:rPr>
      </w:pPr>
    </w:p>
    <w:p w:rsidR="008C1526" w:rsidRDefault="008F7E65" w:rsidP="002427A2">
      <w:pPr>
        <w:rPr>
          <w:rFonts w:ascii="Comic Sans MS" w:hAnsi="Comic Sans MS"/>
          <w:sz w:val="28"/>
          <w:szCs w:val="28"/>
        </w:rPr>
      </w:pPr>
      <w:r>
        <w:rPr>
          <w:rFonts w:ascii="Comic Sans MS" w:hAnsi="Comic Sans MS"/>
          <w:sz w:val="28"/>
          <w:szCs w:val="28"/>
        </w:rPr>
        <w:t>As you most of you will know last year we celebrated our 30</w:t>
      </w:r>
      <w:r w:rsidRPr="008F7E65">
        <w:rPr>
          <w:rFonts w:ascii="Comic Sans MS" w:hAnsi="Comic Sans MS"/>
          <w:sz w:val="28"/>
          <w:szCs w:val="28"/>
          <w:vertAlign w:val="superscript"/>
        </w:rPr>
        <w:t>th</w:t>
      </w:r>
      <w:r>
        <w:rPr>
          <w:rFonts w:ascii="Comic Sans MS" w:hAnsi="Comic Sans MS"/>
          <w:sz w:val="28"/>
          <w:szCs w:val="28"/>
        </w:rPr>
        <w:t xml:space="preserve"> anniversary and we celebrated and reflected on our work</w:t>
      </w:r>
      <w:r w:rsidR="009509FB">
        <w:rPr>
          <w:rFonts w:ascii="Comic Sans MS" w:hAnsi="Comic Sans MS"/>
          <w:sz w:val="28"/>
          <w:szCs w:val="28"/>
        </w:rPr>
        <w:t xml:space="preserve"> throughout 2017.  Whilst it </w:t>
      </w:r>
      <w:r>
        <w:rPr>
          <w:rFonts w:ascii="Comic Sans MS" w:hAnsi="Comic Sans MS"/>
          <w:sz w:val="28"/>
          <w:szCs w:val="28"/>
        </w:rPr>
        <w:t xml:space="preserve">has been a great cause for celebration, it is also with sadness that the wider housing sector is suddenly being woken up by the sad fact that inequalities </w:t>
      </w:r>
      <w:r w:rsidR="008C1526">
        <w:rPr>
          <w:rFonts w:ascii="Comic Sans MS" w:hAnsi="Comic Sans MS"/>
          <w:sz w:val="28"/>
          <w:szCs w:val="28"/>
        </w:rPr>
        <w:t>particularly within the work force of the housing sector has taken backward steps.   It is opening their eyes not only to their own provision of service in the employment and training area</w:t>
      </w:r>
      <w:r w:rsidR="006A113A">
        <w:rPr>
          <w:rFonts w:ascii="Comic Sans MS" w:hAnsi="Comic Sans MS"/>
          <w:sz w:val="28"/>
          <w:szCs w:val="28"/>
        </w:rPr>
        <w:t xml:space="preserve"> but within their own staff complement.</w:t>
      </w:r>
    </w:p>
    <w:p w:rsidR="008C1526" w:rsidRDefault="008C1526" w:rsidP="002427A2">
      <w:pPr>
        <w:rPr>
          <w:rFonts w:ascii="Comic Sans MS" w:hAnsi="Comic Sans MS"/>
          <w:sz w:val="28"/>
          <w:szCs w:val="28"/>
        </w:rPr>
      </w:pPr>
    </w:p>
    <w:p w:rsidR="008C1526" w:rsidRDefault="008C1526" w:rsidP="002427A2">
      <w:pPr>
        <w:rPr>
          <w:rFonts w:ascii="Comic Sans MS" w:hAnsi="Comic Sans MS"/>
          <w:sz w:val="28"/>
          <w:szCs w:val="28"/>
        </w:rPr>
      </w:pPr>
      <w:r>
        <w:rPr>
          <w:rFonts w:ascii="Comic Sans MS" w:hAnsi="Comic Sans MS"/>
          <w:sz w:val="28"/>
          <w:szCs w:val="28"/>
        </w:rPr>
        <w:t>We are pleased that under the leadership of our Director, the Liverpool City Region Housing Association Group are currently undertaking a survey of their own organisations to understand the picture within the Liverpool City Region.  We are hopeful that this will lead to the housing association taking positive</w:t>
      </w:r>
      <w:r w:rsidR="006A113A">
        <w:rPr>
          <w:rFonts w:ascii="Comic Sans MS" w:hAnsi="Comic Sans MS"/>
          <w:sz w:val="28"/>
          <w:szCs w:val="28"/>
        </w:rPr>
        <w:t xml:space="preserve"> steps to address the situation within their own organisations and look at the delivery service provision.</w:t>
      </w:r>
    </w:p>
    <w:p w:rsidR="008F7E65" w:rsidRPr="00C6129D" w:rsidRDefault="008F7E65" w:rsidP="002427A2">
      <w:pPr>
        <w:rPr>
          <w:rFonts w:ascii="Comic Sans MS" w:hAnsi="Comic Sans MS"/>
          <w:sz w:val="28"/>
          <w:szCs w:val="28"/>
        </w:rPr>
      </w:pPr>
      <w:r>
        <w:rPr>
          <w:rFonts w:ascii="Comic Sans MS" w:hAnsi="Comic Sans MS"/>
          <w:sz w:val="28"/>
          <w:szCs w:val="28"/>
        </w:rPr>
        <w:t xml:space="preserve"> </w:t>
      </w:r>
    </w:p>
    <w:p w:rsidR="0024259E" w:rsidRPr="00C6129D" w:rsidRDefault="006A113A" w:rsidP="002427A2">
      <w:pPr>
        <w:rPr>
          <w:rFonts w:ascii="Comic Sans MS" w:hAnsi="Comic Sans MS"/>
          <w:sz w:val="28"/>
          <w:szCs w:val="28"/>
        </w:rPr>
      </w:pPr>
      <w:r>
        <w:rPr>
          <w:rFonts w:ascii="Comic Sans MS" w:hAnsi="Comic Sans MS"/>
          <w:sz w:val="28"/>
          <w:szCs w:val="28"/>
        </w:rPr>
        <w:t>Our tenants and partners will know all to</w:t>
      </w:r>
      <w:r w:rsidR="008F3156">
        <w:rPr>
          <w:rFonts w:ascii="Comic Sans MS" w:hAnsi="Comic Sans MS"/>
          <w:sz w:val="28"/>
          <w:szCs w:val="28"/>
        </w:rPr>
        <w:t>o</w:t>
      </w:r>
      <w:r>
        <w:rPr>
          <w:rFonts w:ascii="Comic Sans MS" w:hAnsi="Comic Sans MS"/>
          <w:sz w:val="28"/>
          <w:szCs w:val="28"/>
        </w:rPr>
        <w:t xml:space="preserve"> well of the challenges that </w:t>
      </w:r>
      <w:r w:rsidR="008F3156">
        <w:rPr>
          <w:rFonts w:ascii="Comic Sans MS" w:hAnsi="Comic Sans MS"/>
          <w:sz w:val="28"/>
          <w:szCs w:val="28"/>
        </w:rPr>
        <w:t>many are facing due to welfare reform.  W</w:t>
      </w:r>
      <w:r w:rsidR="001D0066" w:rsidRPr="00C6129D">
        <w:rPr>
          <w:rFonts w:ascii="Comic Sans MS" w:hAnsi="Comic Sans MS"/>
          <w:sz w:val="28"/>
          <w:szCs w:val="28"/>
        </w:rPr>
        <w:t xml:space="preserve">e </w:t>
      </w:r>
      <w:r w:rsidR="008F3156">
        <w:rPr>
          <w:rFonts w:ascii="Comic Sans MS" w:hAnsi="Comic Sans MS"/>
          <w:sz w:val="28"/>
          <w:szCs w:val="28"/>
        </w:rPr>
        <w:t xml:space="preserve">continue to keep our tenants </w:t>
      </w:r>
      <w:r w:rsidR="0024259E" w:rsidRPr="00C6129D">
        <w:rPr>
          <w:rFonts w:ascii="Comic Sans MS" w:hAnsi="Comic Sans MS"/>
          <w:sz w:val="28"/>
          <w:szCs w:val="28"/>
        </w:rPr>
        <w:t xml:space="preserve">informed </w:t>
      </w:r>
      <w:r w:rsidR="008F3156">
        <w:rPr>
          <w:rFonts w:ascii="Comic Sans MS" w:hAnsi="Comic Sans MS"/>
          <w:sz w:val="28"/>
          <w:szCs w:val="28"/>
        </w:rPr>
        <w:t xml:space="preserve">in order for </w:t>
      </w:r>
      <w:r w:rsidR="0024259E" w:rsidRPr="00C6129D">
        <w:rPr>
          <w:rFonts w:ascii="Comic Sans MS" w:hAnsi="Comic Sans MS"/>
          <w:sz w:val="28"/>
          <w:szCs w:val="28"/>
        </w:rPr>
        <w:t xml:space="preserve">them </w:t>
      </w:r>
      <w:r w:rsidR="008F3156">
        <w:rPr>
          <w:rFonts w:ascii="Comic Sans MS" w:hAnsi="Comic Sans MS"/>
          <w:sz w:val="28"/>
          <w:szCs w:val="28"/>
        </w:rPr>
        <w:t xml:space="preserve">be </w:t>
      </w:r>
      <w:r w:rsidR="0024259E" w:rsidRPr="00C6129D">
        <w:rPr>
          <w:rFonts w:ascii="Comic Sans MS" w:hAnsi="Comic Sans MS"/>
          <w:sz w:val="28"/>
          <w:szCs w:val="28"/>
        </w:rPr>
        <w:t>prepare</w:t>
      </w:r>
      <w:r w:rsidR="008F3156">
        <w:rPr>
          <w:rFonts w:ascii="Comic Sans MS" w:hAnsi="Comic Sans MS"/>
          <w:sz w:val="28"/>
          <w:szCs w:val="28"/>
        </w:rPr>
        <w:t>d</w:t>
      </w:r>
      <w:r w:rsidR="0024259E" w:rsidRPr="00C6129D">
        <w:rPr>
          <w:rFonts w:ascii="Comic Sans MS" w:hAnsi="Comic Sans MS"/>
          <w:sz w:val="28"/>
          <w:szCs w:val="28"/>
        </w:rPr>
        <w:t xml:space="preserve"> and we </w:t>
      </w:r>
      <w:r w:rsidR="001D0066" w:rsidRPr="00C6129D">
        <w:rPr>
          <w:rFonts w:ascii="Comic Sans MS" w:hAnsi="Comic Sans MS"/>
          <w:sz w:val="28"/>
          <w:szCs w:val="28"/>
        </w:rPr>
        <w:t xml:space="preserve">continue to offer advice </w:t>
      </w:r>
      <w:r w:rsidR="00202A31" w:rsidRPr="00C6129D">
        <w:rPr>
          <w:rFonts w:ascii="Comic Sans MS" w:hAnsi="Comic Sans MS"/>
          <w:sz w:val="28"/>
          <w:szCs w:val="28"/>
        </w:rPr>
        <w:t>and support and sign post to specialist agencies when they are required</w:t>
      </w:r>
      <w:r w:rsidR="0024259E" w:rsidRPr="00C6129D">
        <w:rPr>
          <w:rFonts w:ascii="Comic Sans MS" w:hAnsi="Comic Sans MS"/>
          <w:sz w:val="28"/>
          <w:szCs w:val="28"/>
        </w:rPr>
        <w:t>.</w:t>
      </w:r>
    </w:p>
    <w:p w:rsidR="0024259E" w:rsidRPr="00C6129D" w:rsidRDefault="0024259E" w:rsidP="002427A2">
      <w:pPr>
        <w:rPr>
          <w:rFonts w:ascii="Comic Sans MS" w:hAnsi="Comic Sans MS"/>
          <w:sz w:val="28"/>
          <w:szCs w:val="28"/>
        </w:rPr>
      </w:pPr>
    </w:p>
    <w:p w:rsidR="001D0066" w:rsidRPr="00C6129D" w:rsidRDefault="0024259E" w:rsidP="002427A2">
      <w:pPr>
        <w:rPr>
          <w:rFonts w:ascii="Comic Sans MS" w:hAnsi="Comic Sans MS"/>
          <w:sz w:val="28"/>
          <w:szCs w:val="28"/>
        </w:rPr>
      </w:pPr>
      <w:r w:rsidRPr="00C6129D">
        <w:rPr>
          <w:rFonts w:ascii="Comic Sans MS" w:hAnsi="Comic Sans MS"/>
          <w:sz w:val="28"/>
          <w:szCs w:val="28"/>
        </w:rPr>
        <w:t xml:space="preserve">We </w:t>
      </w:r>
      <w:r w:rsidR="008F3156">
        <w:rPr>
          <w:rFonts w:ascii="Comic Sans MS" w:hAnsi="Comic Sans MS"/>
          <w:sz w:val="28"/>
          <w:szCs w:val="28"/>
        </w:rPr>
        <w:t>are now more than 12 months in to delivering our changed</w:t>
      </w:r>
      <w:r w:rsidR="00C50C8B" w:rsidRPr="00C6129D">
        <w:rPr>
          <w:rFonts w:ascii="Comic Sans MS" w:hAnsi="Comic Sans MS"/>
          <w:sz w:val="28"/>
          <w:szCs w:val="28"/>
        </w:rPr>
        <w:t xml:space="preserve"> r</w:t>
      </w:r>
      <w:r w:rsidR="001F35ED" w:rsidRPr="00C6129D">
        <w:rPr>
          <w:rFonts w:ascii="Comic Sans MS" w:hAnsi="Comic Sans MS"/>
          <w:sz w:val="28"/>
          <w:szCs w:val="28"/>
        </w:rPr>
        <w:t>epairs and maintenance service</w:t>
      </w:r>
      <w:r w:rsidR="008F3156">
        <w:rPr>
          <w:rFonts w:ascii="Comic Sans MS" w:hAnsi="Comic Sans MS"/>
          <w:sz w:val="28"/>
          <w:szCs w:val="28"/>
        </w:rPr>
        <w:t>.  We have just completed a comprehensive tenants survey, in order for us to help assess the impact the changes have had on our service delivery.  The results should be ready early October 2018.</w:t>
      </w:r>
    </w:p>
    <w:p w:rsidR="001F35ED" w:rsidRPr="00C6129D" w:rsidRDefault="001F35ED" w:rsidP="002427A2">
      <w:pPr>
        <w:rPr>
          <w:rFonts w:ascii="Comic Sans MS" w:hAnsi="Comic Sans MS"/>
          <w:sz w:val="28"/>
          <w:szCs w:val="28"/>
        </w:rPr>
      </w:pPr>
    </w:p>
    <w:p w:rsidR="00C21420" w:rsidRPr="00C6129D" w:rsidRDefault="00C21420" w:rsidP="002427A2">
      <w:pPr>
        <w:rPr>
          <w:rFonts w:ascii="Comic Sans MS" w:hAnsi="Comic Sans MS"/>
          <w:sz w:val="28"/>
          <w:szCs w:val="28"/>
        </w:rPr>
      </w:pPr>
    </w:p>
    <w:p w:rsidR="008F3156" w:rsidRDefault="008F3156" w:rsidP="002427A2">
      <w:pPr>
        <w:rPr>
          <w:rFonts w:ascii="Comic Sans MS" w:hAnsi="Comic Sans MS"/>
          <w:sz w:val="28"/>
          <w:szCs w:val="28"/>
        </w:rPr>
      </w:pPr>
      <w:r>
        <w:rPr>
          <w:rFonts w:ascii="Comic Sans MS" w:hAnsi="Comic Sans MS"/>
          <w:sz w:val="28"/>
          <w:szCs w:val="28"/>
        </w:rPr>
        <w:t>Finally, I would like to pay tribute to Michelle Cox, Board member of Steve Biko Housing Association.  Michelle has given notice and stepped down as Chair of the organisation.  Michelle will continue as a Board member, and on Behalf of the Board of Steve Biko HA we would like to thank her for her service to the organisation.</w:t>
      </w:r>
    </w:p>
    <w:p w:rsidR="008F3156" w:rsidRDefault="008F3156" w:rsidP="002427A2">
      <w:pPr>
        <w:rPr>
          <w:rFonts w:ascii="Comic Sans MS" w:hAnsi="Comic Sans MS"/>
          <w:sz w:val="28"/>
          <w:szCs w:val="28"/>
        </w:rPr>
      </w:pPr>
    </w:p>
    <w:p w:rsidR="008F3156" w:rsidRDefault="008F3156" w:rsidP="002427A2">
      <w:pPr>
        <w:rPr>
          <w:rFonts w:ascii="Comic Sans MS" w:hAnsi="Comic Sans MS"/>
          <w:sz w:val="28"/>
          <w:szCs w:val="28"/>
        </w:rPr>
      </w:pPr>
      <w:r>
        <w:rPr>
          <w:rFonts w:ascii="Comic Sans MS" w:hAnsi="Comic Sans MS"/>
          <w:sz w:val="28"/>
          <w:szCs w:val="28"/>
        </w:rPr>
        <w:t>With the agreement of the Board I as Vice Chair will be acting as Chair of the organisation.  The Board will determine in November 2018 the position of permanent Chair.</w:t>
      </w:r>
    </w:p>
    <w:p w:rsidR="008F3156" w:rsidRDefault="008F3156" w:rsidP="002427A2">
      <w:pPr>
        <w:rPr>
          <w:rFonts w:ascii="Comic Sans MS" w:hAnsi="Comic Sans MS"/>
          <w:sz w:val="28"/>
          <w:szCs w:val="28"/>
        </w:rPr>
      </w:pPr>
    </w:p>
    <w:p w:rsidR="00C6129D" w:rsidRPr="00C6129D" w:rsidRDefault="003B1E4C" w:rsidP="00BA5D49">
      <w:pPr>
        <w:rPr>
          <w:rFonts w:ascii="Comic Sans MS" w:hAnsi="Comic Sans MS"/>
          <w:sz w:val="28"/>
          <w:szCs w:val="28"/>
        </w:rPr>
      </w:pPr>
      <w:r w:rsidRPr="00C6129D">
        <w:rPr>
          <w:rFonts w:ascii="Comic Sans MS" w:hAnsi="Comic Sans MS"/>
          <w:sz w:val="28"/>
          <w:szCs w:val="28"/>
        </w:rPr>
        <w:t xml:space="preserve">I would like to thank the staff for all of their hard work and my </w:t>
      </w:r>
      <w:r w:rsidR="0094125D" w:rsidRPr="00C6129D">
        <w:rPr>
          <w:rFonts w:ascii="Comic Sans MS" w:hAnsi="Comic Sans MS"/>
          <w:sz w:val="28"/>
          <w:szCs w:val="28"/>
        </w:rPr>
        <w:t xml:space="preserve">fellow </w:t>
      </w:r>
      <w:r w:rsidRPr="00C6129D">
        <w:rPr>
          <w:rFonts w:ascii="Comic Sans MS" w:hAnsi="Comic Sans MS"/>
          <w:sz w:val="28"/>
          <w:szCs w:val="28"/>
        </w:rPr>
        <w:t xml:space="preserve">Board </w:t>
      </w:r>
      <w:r w:rsidR="0094125D" w:rsidRPr="00C6129D">
        <w:rPr>
          <w:rFonts w:ascii="Comic Sans MS" w:hAnsi="Comic Sans MS"/>
          <w:sz w:val="28"/>
          <w:szCs w:val="28"/>
        </w:rPr>
        <w:t xml:space="preserve">members </w:t>
      </w:r>
      <w:r w:rsidRPr="00C6129D">
        <w:rPr>
          <w:rFonts w:ascii="Comic Sans MS" w:hAnsi="Comic Sans MS"/>
          <w:sz w:val="28"/>
          <w:szCs w:val="28"/>
        </w:rPr>
        <w:t>for their support and continued commitment to the success of SBHA</w:t>
      </w:r>
      <w:r w:rsidR="00BA5D49">
        <w:rPr>
          <w:rFonts w:ascii="Comic Sans MS" w:hAnsi="Comic Sans MS"/>
          <w:sz w:val="28"/>
          <w:szCs w:val="28"/>
        </w:rPr>
        <w:t>.</w:t>
      </w:r>
      <w:r w:rsidRPr="00C6129D">
        <w:rPr>
          <w:rFonts w:ascii="Comic Sans MS" w:hAnsi="Comic Sans MS"/>
          <w:sz w:val="28"/>
          <w:szCs w:val="28"/>
        </w:rPr>
        <w:t xml:space="preserve"> </w:t>
      </w:r>
    </w:p>
    <w:p w:rsidR="003B1E4C" w:rsidRPr="00C6129D" w:rsidRDefault="003B1E4C" w:rsidP="002427A2">
      <w:pPr>
        <w:rPr>
          <w:rFonts w:ascii="Comic Sans MS" w:hAnsi="Comic Sans MS"/>
          <w:sz w:val="28"/>
          <w:szCs w:val="28"/>
        </w:rPr>
      </w:pPr>
    </w:p>
    <w:p w:rsidR="003B1E4C" w:rsidRPr="00C6129D" w:rsidRDefault="003B1E4C" w:rsidP="002427A2">
      <w:pPr>
        <w:rPr>
          <w:rFonts w:ascii="Comic Sans MS" w:hAnsi="Comic Sans MS"/>
          <w:sz w:val="28"/>
          <w:szCs w:val="28"/>
        </w:rPr>
      </w:pPr>
    </w:p>
    <w:p w:rsidR="00BA5D49" w:rsidRDefault="00BA5D49" w:rsidP="003B1E4C">
      <w:pPr>
        <w:jc w:val="right"/>
        <w:rPr>
          <w:rFonts w:ascii="Comic Sans MS" w:hAnsi="Comic Sans MS"/>
          <w:sz w:val="28"/>
          <w:szCs w:val="28"/>
        </w:rPr>
      </w:pPr>
    </w:p>
    <w:p w:rsidR="00BA5D49" w:rsidRDefault="00BA5D49" w:rsidP="003B1E4C">
      <w:pPr>
        <w:jc w:val="right"/>
        <w:rPr>
          <w:rFonts w:ascii="Comic Sans MS" w:hAnsi="Comic Sans MS"/>
          <w:sz w:val="28"/>
          <w:szCs w:val="28"/>
        </w:rPr>
      </w:pPr>
    </w:p>
    <w:p w:rsidR="00BA5D49" w:rsidRDefault="00BA5D49" w:rsidP="003B1E4C">
      <w:pPr>
        <w:jc w:val="right"/>
        <w:rPr>
          <w:rFonts w:ascii="Comic Sans MS" w:hAnsi="Comic Sans MS"/>
          <w:sz w:val="28"/>
          <w:szCs w:val="28"/>
        </w:rPr>
      </w:pPr>
    </w:p>
    <w:p w:rsidR="00BA5D49" w:rsidRDefault="00BA5D49" w:rsidP="003B1E4C">
      <w:pPr>
        <w:jc w:val="right"/>
        <w:rPr>
          <w:rFonts w:ascii="Comic Sans MS" w:hAnsi="Comic Sans MS"/>
          <w:sz w:val="28"/>
          <w:szCs w:val="28"/>
        </w:rPr>
      </w:pPr>
    </w:p>
    <w:p w:rsidR="003B1E4C" w:rsidRPr="00C6129D" w:rsidRDefault="00BA5D49" w:rsidP="003B1E4C">
      <w:pPr>
        <w:jc w:val="right"/>
        <w:rPr>
          <w:rFonts w:ascii="Comic Sans MS" w:hAnsi="Comic Sans MS"/>
          <w:sz w:val="28"/>
          <w:szCs w:val="28"/>
        </w:rPr>
      </w:pPr>
      <w:r>
        <w:rPr>
          <w:rFonts w:ascii="Comic Sans MS" w:hAnsi="Comic Sans MS"/>
          <w:sz w:val="28"/>
          <w:szCs w:val="28"/>
        </w:rPr>
        <w:t>Robbie Williams</w:t>
      </w:r>
    </w:p>
    <w:p w:rsidR="003B1E4C" w:rsidRPr="00C6129D" w:rsidRDefault="00BA5D49" w:rsidP="003B1E4C">
      <w:pPr>
        <w:jc w:val="right"/>
        <w:rPr>
          <w:rFonts w:ascii="Comic Sans MS" w:hAnsi="Comic Sans MS"/>
          <w:sz w:val="28"/>
          <w:szCs w:val="28"/>
        </w:rPr>
      </w:pPr>
      <w:r>
        <w:rPr>
          <w:rFonts w:ascii="Comic Sans MS" w:hAnsi="Comic Sans MS"/>
          <w:sz w:val="28"/>
          <w:szCs w:val="28"/>
        </w:rPr>
        <w:t>Acting Chair</w:t>
      </w:r>
      <w:r w:rsidR="003B1E4C" w:rsidRPr="00C6129D">
        <w:rPr>
          <w:rFonts w:ascii="Comic Sans MS" w:hAnsi="Comic Sans MS"/>
          <w:sz w:val="28"/>
          <w:szCs w:val="28"/>
        </w:rPr>
        <w:t>.</w:t>
      </w:r>
    </w:p>
    <w:p w:rsidR="00B43288" w:rsidRPr="00C6129D" w:rsidRDefault="003B1E4C" w:rsidP="003B1E4C">
      <w:pPr>
        <w:jc w:val="right"/>
        <w:rPr>
          <w:rFonts w:ascii="Comic Sans MS" w:hAnsi="Comic Sans MS"/>
          <w:sz w:val="28"/>
          <w:szCs w:val="28"/>
        </w:rPr>
      </w:pPr>
      <w:r w:rsidRPr="00C6129D">
        <w:rPr>
          <w:rFonts w:ascii="Comic Sans MS" w:hAnsi="Comic Sans MS"/>
          <w:sz w:val="28"/>
          <w:szCs w:val="28"/>
        </w:rPr>
        <w:t>September 201</w:t>
      </w:r>
      <w:r w:rsidR="00BA5D49">
        <w:rPr>
          <w:rFonts w:ascii="Comic Sans MS" w:hAnsi="Comic Sans MS"/>
          <w:sz w:val="28"/>
          <w:szCs w:val="28"/>
        </w:rPr>
        <w:t>8</w:t>
      </w:r>
      <w:r w:rsidRPr="00C6129D">
        <w:rPr>
          <w:rFonts w:ascii="Comic Sans MS" w:hAnsi="Comic Sans MS"/>
          <w:sz w:val="28"/>
          <w:szCs w:val="28"/>
        </w:rPr>
        <w:t xml:space="preserve">. </w:t>
      </w:r>
    </w:p>
    <w:p w:rsidR="001D0066" w:rsidRPr="00C6129D" w:rsidRDefault="001D0066" w:rsidP="002427A2">
      <w:pPr>
        <w:rPr>
          <w:rFonts w:ascii="Comic Sans MS" w:hAnsi="Comic Sans MS"/>
          <w:sz w:val="28"/>
          <w:szCs w:val="28"/>
        </w:rPr>
      </w:pPr>
    </w:p>
    <w:p w:rsidR="002427A2" w:rsidRPr="00C6129D" w:rsidRDefault="002427A2" w:rsidP="002427A2">
      <w:pPr>
        <w:rPr>
          <w:rFonts w:ascii="Comic Sans MS" w:hAnsi="Comic Sans MS"/>
          <w:sz w:val="28"/>
          <w:szCs w:val="28"/>
        </w:rPr>
      </w:pPr>
    </w:p>
    <w:p w:rsidR="002427A2" w:rsidRPr="00C6129D" w:rsidRDefault="002427A2" w:rsidP="002427A2">
      <w:pPr>
        <w:rPr>
          <w:rFonts w:ascii="Comic Sans MS" w:hAnsi="Comic Sans MS"/>
          <w:sz w:val="28"/>
          <w:szCs w:val="28"/>
        </w:rPr>
      </w:pPr>
    </w:p>
    <w:p w:rsidR="0094125D" w:rsidRPr="00C6129D" w:rsidRDefault="0094125D" w:rsidP="002427A2">
      <w:pPr>
        <w:rPr>
          <w:rFonts w:ascii="Comic Sans MS" w:hAnsi="Comic Sans MS"/>
          <w:sz w:val="28"/>
          <w:szCs w:val="28"/>
        </w:rPr>
      </w:pPr>
    </w:p>
    <w:p w:rsidR="0094125D" w:rsidRDefault="0094125D" w:rsidP="002427A2">
      <w:pPr>
        <w:rPr>
          <w:rFonts w:ascii="Comic Sans MS" w:hAnsi="Comic Sans MS"/>
          <w:sz w:val="32"/>
          <w:szCs w:val="32"/>
        </w:rPr>
      </w:pPr>
    </w:p>
    <w:p w:rsidR="0094125D" w:rsidRDefault="0094125D" w:rsidP="002427A2">
      <w:pPr>
        <w:rPr>
          <w:rFonts w:ascii="Comic Sans MS" w:hAnsi="Comic Sans MS"/>
          <w:sz w:val="32"/>
          <w:szCs w:val="32"/>
        </w:rPr>
      </w:pPr>
    </w:p>
    <w:p w:rsidR="0094125D" w:rsidRDefault="0094125D" w:rsidP="002427A2">
      <w:pPr>
        <w:rPr>
          <w:rFonts w:ascii="Comic Sans MS" w:hAnsi="Comic Sans MS"/>
          <w:sz w:val="32"/>
          <w:szCs w:val="32"/>
        </w:rPr>
      </w:pPr>
    </w:p>
    <w:p w:rsidR="0094125D" w:rsidRDefault="0094125D" w:rsidP="002427A2">
      <w:pPr>
        <w:rPr>
          <w:rFonts w:ascii="Comic Sans MS" w:hAnsi="Comic Sans MS"/>
          <w:sz w:val="32"/>
          <w:szCs w:val="32"/>
        </w:rPr>
      </w:pPr>
    </w:p>
    <w:p w:rsidR="0094125D" w:rsidRDefault="0094125D" w:rsidP="002427A2">
      <w:pPr>
        <w:rPr>
          <w:rFonts w:ascii="Comic Sans MS" w:hAnsi="Comic Sans MS"/>
          <w:sz w:val="32"/>
          <w:szCs w:val="32"/>
        </w:rPr>
      </w:pPr>
    </w:p>
    <w:p w:rsidR="0094125D" w:rsidRDefault="0094125D" w:rsidP="002427A2">
      <w:pPr>
        <w:rPr>
          <w:rFonts w:ascii="Comic Sans MS" w:hAnsi="Comic Sans MS"/>
          <w:sz w:val="32"/>
          <w:szCs w:val="32"/>
        </w:rPr>
      </w:pPr>
    </w:p>
    <w:p w:rsidR="0094125D" w:rsidRDefault="0094125D" w:rsidP="002427A2">
      <w:pPr>
        <w:rPr>
          <w:rFonts w:ascii="Comic Sans MS" w:hAnsi="Comic Sans MS"/>
          <w:sz w:val="32"/>
          <w:szCs w:val="32"/>
        </w:rPr>
      </w:pPr>
    </w:p>
    <w:p w:rsidR="008407CA" w:rsidRPr="006E1463" w:rsidRDefault="008407CA" w:rsidP="002427A2">
      <w:pPr>
        <w:tabs>
          <w:tab w:val="left" w:pos="6600"/>
        </w:tabs>
        <w:rPr>
          <w:rFonts w:ascii="Comic Sans MS" w:hAnsi="Comic Sans MS"/>
          <w:sz w:val="16"/>
          <w:szCs w:val="16"/>
        </w:rPr>
      </w:pPr>
    </w:p>
    <w:p w:rsidR="002427A2" w:rsidRPr="005229B0" w:rsidRDefault="002427A2" w:rsidP="002427A2">
      <w:pPr>
        <w:tabs>
          <w:tab w:val="left" w:pos="6600"/>
        </w:tabs>
        <w:rPr>
          <w:rFonts w:ascii="Arial" w:hAnsi="Arial" w:cs="Arial"/>
          <w:b/>
        </w:rPr>
      </w:pPr>
      <w:r w:rsidRPr="005229B0">
        <w:rPr>
          <w:rFonts w:ascii="Arial" w:hAnsi="Arial" w:cs="Arial"/>
          <w:b/>
        </w:rPr>
        <w:lastRenderedPageBreak/>
        <w:t>Welcome</w:t>
      </w:r>
    </w:p>
    <w:p w:rsidR="002427A2" w:rsidRPr="003B1E4C" w:rsidRDefault="002427A2" w:rsidP="002427A2">
      <w:pPr>
        <w:tabs>
          <w:tab w:val="left" w:pos="6600"/>
        </w:tabs>
        <w:rPr>
          <w:rFonts w:ascii="Arial" w:hAnsi="Arial" w:cs="Arial"/>
          <w:b/>
        </w:rPr>
      </w:pPr>
    </w:p>
    <w:p w:rsidR="002427A2" w:rsidRPr="003B1E4C" w:rsidRDefault="002427A2" w:rsidP="002427A2">
      <w:pPr>
        <w:tabs>
          <w:tab w:val="left" w:pos="6600"/>
        </w:tabs>
        <w:rPr>
          <w:rFonts w:ascii="Arial" w:hAnsi="Arial" w:cs="Arial"/>
          <w:b/>
        </w:rPr>
      </w:pPr>
    </w:p>
    <w:p w:rsidR="002427A2" w:rsidRDefault="002427A2" w:rsidP="002427A2">
      <w:pPr>
        <w:tabs>
          <w:tab w:val="left" w:pos="6600"/>
        </w:tabs>
        <w:rPr>
          <w:rFonts w:ascii="Arial" w:hAnsi="Arial" w:cs="Arial"/>
        </w:rPr>
      </w:pPr>
      <w:r w:rsidRPr="003B1E4C">
        <w:rPr>
          <w:rFonts w:ascii="Arial" w:hAnsi="Arial" w:cs="Arial"/>
        </w:rPr>
        <w:t>Welcome to our annual report, the report provides information on the year April 201</w:t>
      </w:r>
      <w:r w:rsidR="00BA5D49">
        <w:rPr>
          <w:rFonts w:ascii="Arial" w:hAnsi="Arial" w:cs="Arial"/>
        </w:rPr>
        <w:t>7</w:t>
      </w:r>
      <w:r w:rsidRPr="003B1E4C">
        <w:rPr>
          <w:rFonts w:ascii="Arial" w:hAnsi="Arial" w:cs="Arial"/>
        </w:rPr>
        <w:t xml:space="preserve"> to March 201</w:t>
      </w:r>
      <w:r w:rsidR="00BA5D49">
        <w:rPr>
          <w:rFonts w:ascii="Arial" w:hAnsi="Arial" w:cs="Arial"/>
        </w:rPr>
        <w:t>8</w:t>
      </w:r>
      <w:r w:rsidR="005229B0">
        <w:rPr>
          <w:rFonts w:ascii="Arial" w:hAnsi="Arial" w:cs="Arial"/>
        </w:rPr>
        <w:t>.</w:t>
      </w:r>
    </w:p>
    <w:p w:rsidR="004A1040" w:rsidRPr="003B1E4C" w:rsidRDefault="004A1040" w:rsidP="002427A2">
      <w:pPr>
        <w:tabs>
          <w:tab w:val="left" w:pos="6600"/>
        </w:tabs>
        <w:rPr>
          <w:rFonts w:ascii="Arial" w:hAnsi="Arial" w:cs="Arial"/>
        </w:rPr>
      </w:pPr>
    </w:p>
    <w:p w:rsidR="00BA5D49" w:rsidRDefault="002427A2" w:rsidP="002427A2">
      <w:pPr>
        <w:tabs>
          <w:tab w:val="left" w:pos="6600"/>
        </w:tabs>
        <w:rPr>
          <w:rFonts w:ascii="Arial" w:hAnsi="Arial" w:cs="Arial"/>
        </w:rPr>
      </w:pPr>
      <w:r w:rsidRPr="003B1E4C">
        <w:rPr>
          <w:rFonts w:ascii="Arial" w:hAnsi="Arial" w:cs="Arial"/>
          <w:b/>
        </w:rPr>
        <w:t xml:space="preserve">Getting </w:t>
      </w:r>
      <w:r w:rsidR="00D75623" w:rsidRPr="003B1E4C">
        <w:rPr>
          <w:rFonts w:ascii="Arial" w:hAnsi="Arial" w:cs="Arial"/>
          <w:b/>
        </w:rPr>
        <w:t>Involved</w:t>
      </w:r>
      <w:r w:rsidR="00D75623" w:rsidRPr="003B1E4C">
        <w:rPr>
          <w:rFonts w:ascii="Arial" w:hAnsi="Arial" w:cs="Arial"/>
        </w:rPr>
        <w:t xml:space="preserve"> </w:t>
      </w:r>
      <w:r w:rsidR="00BA5D49">
        <w:rPr>
          <w:rFonts w:ascii="Arial" w:hAnsi="Arial" w:cs="Arial"/>
        </w:rPr>
        <w:t xml:space="preserve"> </w:t>
      </w:r>
    </w:p>
    <w:p w:rsidR="002427A2" w:rsidRDefault="006E1463" w:rsidP="002427A2">
      <w:pPr>
        <w:tabs>
          <w:tab w:val="left" w:pos="6600"/>
        </w:tabs>
        <w:rPr>
          <w:rFonts w:ascii="Arial" w:hAnsi="Arial" w:cs="Arial"/>
        </w:rPr>
      </w:pPr>
      <w:r>
        <w:rPr>
          <w:rFonts w:ascii="Arial" w:hAnsi="Arial" w:cs="Arial"/>
        </w:rPr>
        <w:t xml:space="preserve"> </w:t>
      </w:r>
      <w:r>
        <w:rPr>
          <w:noProof/>
          <w:lang w:eastAsia="en-GB"/>
        </w:rPr>
        <w:drawing>
          <wp:inline distT="0" distB="0" distL="0" distR="0">
            <wp:extent cx="5731510" cy="3816808"/>
            <wp:effectExtent l="0" t="0" r="2540" b="0"/>
            <wp:docPr id="4" name="Picture 4" descr="C:\Users\beverley.betteridge\AppData\Local\Microsoft\Windows\INetCache\Content.Word\0221_suitcase actors workshop Visit (web)-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ey.betteridge\AppData\Local\Microsoft\Windows\INetCache\Content.Word\0221_suitcase actors workshop Visit (web)-07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16808"/>
                    </a:xfrm>
                    <a:prstGeom prst="rect">
                      <a:avLst/>
                    </a:prstGeom>
                    <a:noFill/>
                    <a:ln>
                      <a:noFill/>
                    </a:ln>
                  </pic:spPr>
                </pic:pic>
              </a:graphicData>
            </a:graphic>
          </wp:inline>
        </w:drawing>
      </w:r>
    </w:p>
    <w:p w:rsidR="006E1463" w:rsidRDefault="006E1463" w:rsidP="002427A2">
      <w:pPr>
        <w:tabs>
          <w:tab w:val="left" w:pos="6600"/>
        </w:tabs>
        <w:rPr>
          <w:rFonts w:ascii="Arial" w:hAnsi="Arial" w:cs="Arial"/>
        </w:rPr>
      </w:pPr>
    </w:p>
    <w:p w:rsidR="002427A2" w:rsidRPr="003B1E4C" w:rsidRDefault="000B5B6B" w:rsidP="002427A2">
      <w:pPr>
        <w:tabs>
          <w:tab w:val="left" w:pos="6600"/>
        </w:tabs>
        <w:rPr>
          <w:rFonts w:ascii="Arial" w:hAnsi="Arial" w:cs="Arial"/>
        </w:rPr>
      </w:pPr>
      <w:r w:rsidRPr="003B1E4C">
        <w:rPr>
          <w:rFonts w:ascii="Arial" w:hAnsi="Arial" w:cs="Arial"/>
        </w:rPr>
        <w:t>We believe</w:t>
      </w:r>
      <w:r w:rsidR="002427A2" w:rsidRPr="003B1E4C">
        <w:rPr>
          <w:rFonts w:ascii="Arial" w:hAnsi="Arial" w:cs="Arial"/>
        </w:rPr>
        <w:t xml:space="preserve"> the best way for </w:t>
      </w:r>
      <w:r w:rsidR="00D020C9" w:rsidRPr="003B1E4C">
        <w:rPr>
          <w:rFonts w:ascii="Arial" w:hAnsi="Arial" w:cs="Arial"/>
        </w:rPr>
        <w:t>our tenants to make sure that we deliver services that you want is to provide tenants with opportunities to have their say and get involved.</w:t>
      </w:r>
    </w:p>
    <w:p w:rsidR="00D020C9" w:rsidRPr="003B1E4C" w:rsidRDefault="00D020C9" w:rsidP="002427A2">
      <w:pPr>
        <w:tabs>
          <w:tab w:val="left" w:pos="6600"/>
        </w:tabs>
        <w:rPr>
          <w:rFonts w:ascii="Arial" w:hAnsi="Arial" w:cs="Arial"/>
        </w:rPr>
      </w:pPr>
    </w:p>
    <w:p w:rsidR="00CC58F8" w:rsidRPr="003B1E4C" w:rsidRDefault="00FA4148" w:rsidP="00CC58F8">
      <w:pPr>
        <w:tabs>
          <w:tab w:val="left" w:pos="6600"/>
        </w:tabs>
        <w:rPr>
          <w:rFonts w:ascii="Arial" w:hAnsi="Arial" w:cs="Arial"/>
        </w:rPr>
      </w:pPr>
      <w:r w:rsidRPr="003B1E4C">
        <w:rPr>
          <w:rFonts w:ascii="Arial" w:hAnsi="Arial" w:cs="Arial"/>
        </w:rPr>
        <w:t xml:space="preserve">To enable this to happen </w:t>
      </w:r>
      <w:r w:rsidR="00242ACF" w:rsidRPr="003B1E4C">
        <w:rPr>
          <w:rFonts w:ascii="Arial" w:hAnsi="Arial" w:cs="Arial"/>
        </w:rPr>
        <w:t>we have a dedicated tenant engagement and comm</w:t>
      </w:r>
      <w:r w:rsidR="00E81ED0" w:rsidRPr="003B1E4C">
        <w:rPr>
          <w:rFonts w:ascii="Arial" w:hAnsi="Arial" w:cs="Arial"/>
        </w:rPr>
        <w:t xml:space="preserve">unity regeneration service.  Beverley Williams, Our Community Regeneration Manager is responsible for </w:t>
      </w:r>
      <w:r w:rsidR="00D75623" w:rsidRPr="003B1E4C">
        <w:rPr>
          <w:rFonts w:ascii="Arial" w:hAnsi="Arial" w:cs="Arial"/>
        </w:rPr>
        <w:t>organising bi</w:t>
      </w:r>
      <w:r w:rsidRPr="003B1E4C">
        <w:rPr>
          <w:rFonts w:ascii="Arial" w:hAnsi="Arial" w:cs="Arial"/>
        </w:rPr>
        <w:t>-monthly meetings for all tenant to have the opportunity to meet with staff to discuss issues and share information.  Outside spe</w:t>
      </w:r>
      <w:r w:rsidR="000B5B6B" w:rsidRPr="003B1E4C">
        <w:rPr>
          <w:rFonts w:ascii="Arial" w:hAnsi="Arial" w:cs="Arial"/>
        </w:rPr>
        <w:t xml:space="preserve">akers are also invited to provide </w:t>
      </w:r>
      <w:r w:rsidRPr="003B1E4C">
        <w:rPr>
          <w:rFonts w:ascii="Arial" w:hAnsi="Arial" w:cs="Arial"/>
        </w:rPr>
        <w:t>information</w:t>
      </w:r>
      <w:r w:rsidR="00D50A2C" w:rsidRPr="003B1E4C">
        <w:rPr>
          <w:rFonts w:ascii="Arial" w:hAnsi="Arial" w:cs="Arial"/>
        </w:rPr>
        <w:t>,</w:t>
      </w:r>
      <w:r w:rsidR="000B5B6B" w:rsidRPr="003B1E4C">
        <w:rPr>
          <w:rFonts w:ascii="Arial" w:hAnsi="Arial" w:cs="Arial"/>
        </w:rPr>
        <w:t xml:space="preserve"> during the past year we have had talks</w:t>
      </w:r>
      <w:r w:rsidR="00D50A2C" w:rsidRPr="003B1E4C">
        <w:rPr>
          <w:rFonts w:ascii="Arial" w:hAnsi="Arial" w:cs="Arial"/>
        </w:rPr>
        <w:t xml:space="preserve"> from Merseyside Fire Service</w:t>
      </w:r>
      <w:r w:rsidR="000B5B6B" w:rsidRPr="003B1E4C">
        <w:rPr>
          <w:rFonts w:ascii="Arial" w:hAnsi="Arial" w:cs="Arial"/>
        </w:rPr>
        <w:t xml:space="preserve"> about</w:t>
      </w:r>
      <w:r w:rsidR="0042402F" w:rsidRPr="003B1E4C">
        <w:rPr>
          <w:rFonts w:ascii="Arial" w:hAnsi="Arial" w:cs="Arial"/>
        </w:rPr>
        <w:t xml:space="preserve"> Fire Safety in the home, </w:t>
      </w:r>
      <w:r w:rsidR="00BA5D49">
        <w:rPr>
          <w:rFonts w:ascii="Arial" w:hAnsi="Arial" w:cs="Arial"/>
        </w:rPr>
        <w:t xml:space="preserve">Mersey EyeCare, Adult Education, </w:t>
      </w:r>
      <w:r w:rsidR="00D50A2C" w:rsidRPr="003B1E4C">
        <w:rPr>
          <w:rFonts w:ascii="Arial" w:hAnsi="Arial" w:cs="Arial"/>
        </w:rPr>
        <w:t>Toxteth Citizens Advice Service</w:t>
      </w:r>
      <w:r w:rsidR="00D75623" w:rsidRPr="003B1E4C">
        <w:rPr>
          <w:rFonts w:ascii="Arial" w:hAnsi="Arial" w:cs="Arial"/>
        </w:rPr>
        <w:t xml:space="preserve">, </w:t>
      </w:r>
      <w:r w:rsidR="00DD1CA0">
        <w:rPr>
          <w:rFonts w:ascii="Arial" w:hAnsi="Arial" w:cs="Arial"/>
        </w:rPr>
        <w:t>Lodge Lane Credit Union Mersey Eye Care</w:t>
      </w:r>
      <w:r w:rsidR="00BA5D49">
        <w:rPr>
          <w:rFonts w:ascii="Arial" w:hAnsi="Arial" w:cs="Arial"/>
        </w:rPr>
        <w:t xml:space="preserve"> and Jane McIntyre from Riverside HA to promote our joint employment drop in centre.</w:t>
      </w:r>
    </w:p>
    <w:p w:rsidR="00CC58F8" w:rsidRPr="003B1E4C" w:rsidRDefault="00CC58F8" w:rsidP="002427A2">
      <w:pPr>
        <w:tabs>
          <w:tab w:val="left" w:pos="6600"/>
        </w:tabs>
        <w:rPr>
          <w:rFonts w:ascii="Arial" w:hAnsi="Arial" w:cs="Arial"/>
        </w:rPr>
      </w:pPr>
    </w:p>
    <w:p w:rsidR="00242ACF" w:rsidRPr="003B1E4C" w:rsidRDefault="00242ACF" w:rsidP="002427A2">
      <w:pPr>
        <w:tabs>
          <w:tab w:val="left" w:pos="6600"/>
        </w:tabs>
        <w:rPr>
          <w:rFonts w:ascii="Arial" w:hAnsi="Arial" w:cs="Arial"/>
        </w:rPr>
      </w:pPr>
      <w:r w:rsidRPr="003B1E4C">
        <w:rPr>
          <w:rFonts w:ascii="Arial" w:hAnsi="Arial" w:cs="Arial"/>
        </w:rPr>
        <w:t>We</w:t>
      </w:r>
      <w:r w:rsidR="00BA5D49">
        <w:rPr>
          <w:rFonts w:ascii="Arial" w:hAnsi="Arial" w:cs="Arial"/>
        </w:rPr>
        <w:t xml:space="preserve"> continue to</w:t>
      </w:r>
      <w:r w:rsidRPr="003B1E4C">
        <w:rPr>
          <w:rFonts w:ascii="Arial" w:hAnsi="Arial" w:cs="Arial"/>
        </w:rPr>
        <w:t xml:space="preserve"> support our t</w:t>
      </w:r>
      <w:r w:rsidR="00BA5D49">
        <w:rPr>
          <w:rFonts w:ascii="Arial" w:hAnsi="Arial" w:cs="Arial"/>
        </w:rPr>
        <w:t>enants to engage with SBHA and other agencies</w:t>
      </w:r>
      <w:r w:rsidRPr="003B1E4C">
        <w:rPr>
          <w:rFonts w:ascii="Arial" w:hAnsi="Arial" w:cs="Arial"/>
        </w:rPr>
        <w:t xml:space="preserve"> by providing training and enabling them to participate in tenant seminars and conferences, such as TPAS regional meetings and the Community Based Housing Association annual tenant conference. </w:t>
      </w:r>
      <w:r w:rsidR="00BA5D49">
        <w:rPr>
          <w:rFonts w:ascii="Arial" w:hAnsi="Arial" w:cs="Arial"/>
        </w:rPr>
        <w:t>We were</w:t>
      </w:r>
      <w:r w:rsidR="00090DBD">
        <w:rPr>
          <w:rFonts w:ascii="Arial" w:hAnsi="Arial" w:cs="Arial"/>
        </w:rPr>
        <w:t xml:space="preserve"> particularly</w:t>
      </w:r>
      <w:r w:rsidR="00BA5D49">
        <w:rPr>
          <w:rFonts w:ascii="Arial" w:hAnsi="Arial" w:cs="Arial"/>
        </w:rPr>
        <w:t xml:space="preserve"> pleased</w:t>
      </w:r>
      <w:r w:rsidR="00090DBD">
        <w:rPr>
          <w:rFonts w:ascii="Arial" w:hAnsi="Arial" w:cs="Arial"/>
        </w:rPr>
        <w:t>,</w:t>
      </w:r>
      <w:r w:rsidR="00BA5D49">
        <w:rPr>
          <w:rFonts w:ascii="Arial" w:hAnsi="Arial" w:cs="Arial"/>
        </w:rPr>
        <w:t xml:space="preserve"> that two of our tenants attended a meeting </w:t>
      </w:r>
      <w:r w:rsidR="00090DBD">
        <w:rPr>
          <w:rFonts w:ascii="Arial" w:hAnsi="Arial" w:cs="Arial"/>
        </w:rPr>
        <w:t xml:space="preserve">with the then Housing Minister Alok Sharma in Preston to share their views on social housing and impact of Government policies on tenants.  </w:t>
      </w:r>
    </w:p>
    <w:p w:rsidR="00242ACF" w:rsidRPr="003B1E4C" w:rsidRDefault="00242ACF" w:rsidP="002427A2">
      <w:pPr>
        <w:tabs>
          <w:tab w:val="left" w:pos="6600"/>
        </w:tabs>
        <w:rPr>
          <w:rFonts w:ascii="Arial" w:hAnsi="Arial" w:cs="Arial"/>
        </w:rPr>
      </w:pPr>
    </w:p>
    <w:p w:rsidR="00242ACF" w:rsidRPr="003B1E4C" w:rsidRDefault="00090DBD" w:rsidP="002427A2">
      <w:pPr>
        <w:tabs>
          <w:tab w:val="left" w:pos="6600"/>
        </w:tabs>
        <w:rPr>
          <w:rFonts w:ascii="Arial" w:hAnsi="Arial" w:cs="Arial"/>
        </w:rPr>
      </w:pPr>
      <w:r>
        <w:rPr>
          <w:rFonts w:ascii="Arial" w:hAnsi="Arial" w:cs="Arial"/>
        </w:rPr>
        <w:t xml:space="preserve">We </w:t>
      </w:r>
      <w:r w:rsidR="00242ACF" w:rsidRPr="003B1E4C">
        <w:rPr>
          <w:rFonts w:ascii="Arial" w:hAnsi="Arial" w:cs="Arial"/>
        </w:rPr>
        <w:t>hold regular coffee mornings</w:t>
      </w:r>
      <w:r w:rsidR="00E81ED0" w:rsidRPr="003B1E4C">
        <w:rPr>
          <w:rFonts w:ascii="Arial" w:hAnsi="Arial" w:cs="Arial"/>
        </w:rPr>
        <w:t xml:space="preserve">, </w:t>
      </w:r>
      <w:r w:rsidR="00242ACF" w:rsidRPr="003B1E4C">
        <w:rPr>
          <w:rFonts w:ascii="Arial" w:hAnsi="Arial" w:cs="Arial"/>
        </w:rPr>
        <w:t>focus group sessions</w:t>
      </w:r>
      <w:r w:rsidR="00E81ED0" w:rsidRPr="003B1E4C">
        <w:rPr>
          <w:rFonts w:ascii="Arial" w:hAnsi="Arial" w:cs="Arial"/>
        </w:rPr>
        <w:t xml:space="preserve"> and ‘walk about</w:t>
      </w:r>
      <w:r w:rsidR="009509FB" w:rsidRPr="003B1E4C">
        <w:rPr>
          <w:rFonts w:ascii="Arial" w:hAnsi="Arial" w:cs="Arial"/>
        </w:rPr>
        <w:t>’ that</w:t>
      </w:r>
      <w:r w:rsidR="00242ACF" w:rsidRPr="003B1E4C">
        <w:rPr>
          <w:rFonts w:ascii="Arial" w:hAnsi="Arial" w:cs="Arial"/>
        </w:rPr>
        <w:t xml:space="preserve"> enables us to talk face to face with tenants about issues affecting them</w:t>
      </w:r>
      <w:r w:rsidR="00E81ED0" w:rsidRPr="003B1E4C">
        <w:rPr>
          <w:rFonts w:ascii="Arial" w:hAnsi="Arial" w:cs="Arial"/>
        </w:rPr>
        <w:t>, such as repairs service, anti-social, fly tipping, and street lighting</w:t>
      </w:r>
      <w:r w:rsidR="00242ACF" w:rsidRPr="003B1E4C">
        <w:rPr>
          <w:rFonts w:ascii="Arial" w:hAnsi="Arial" w:cs="Arial"/>
        </w:rPr>
        <w:t xml:space="preserve">.  </w:t>
      </w:r>
    </w:p>
    <w:p w:rsidR="0027702E" w:rsidRPr="003B1E4C" w:rsidRDefault="0027702E" w:rsidP="002427A2">
      <w:pPr>
        <w:tabs>
          <w:tab w:val="left" w:pos="6600"/>
        </w:tabs>
        <w:rPr>
          <w:rFonts w:ascii="Arial" w:hAnsi="Arial" w:cs="Arial"/>
        </w:rPr>
      </w:pPr>
    </w:p>
    <w:p w:rsidR="0024504B" w:rsidRDefault="0019649D" w:rsidP="002427A2">
      <w:pPr>
        <w:tabs>
          <w:tab w:val="left" w:pos="6600"/>
        </w:tabs>
        <w:rPr>
          <w:rFonts w:ascii="Arial" w:hAnsi="Arial" w:cs="Arial"/>
        </w:rPr>
      </w:pPr>
      <w:r w:rsidRPr="003B1E4C">
        <w:rPr>
          <w:rFonts w:ascii="Arial" w:hAnsi="Arial" w:cs="Arial"/>
        </w:rPr>
        <w:t>Our t</w:t>
      </w:r>
      <w:r w:rsidR="0027702E" w:rsidRPr="003B1E4C">
        <w:rPr>
          <w:rFonts w:ascii="Arial" w:hAnsi="Arial" w:cs="Arial"/>
        </w:rPr>
        <w:t>enant</w:t>
      </w:r>
      <w:r w:rsidRPr="003B1E4C">
        <w:rPr>
          <w:rFonts w:ascii="Arial" w:hAnsi="Arial" w:cs="Arial"/>
        </w:rPr>
        <w:t>’</w:t>
      </w:r>
      <w:r w:rsidR="0027702E" w:rsidRPr="003B1E4C">
        <w:rPr>
          <w:rFonts w:ascii="Arial" w:hAnsi="Arial" w:cs="Arial"/>
        </w:rPr>
        <w:t>s c</w:t>
      </w:r>
      <w:r w:rsidRPr="003B1E4C">
        <w:rPr>
          <w:rFonts w:ascii="Arial" w:hAnsi="Arial" w:cs="Arial"/>
        </w:rPr>
        <w:t>ommunity grant giving panel, a</w:t>
      </w:r>
      <w:r w:rsidR="0027702E" w:rsidRPr="003B1E4C">
        <w:rPr>
          <w:rFonts w:ascii="Arial" w:hAnsi="Arial" w:cs="Arial"/>
        </w:rPr>
        <w:t>ward</w:t>
      </w:r>
      <w:r w:rsidRPr="003B1E4C">
        <w:rPr>
          <w:rFonts w:ascii="Arial" w:hAnsi="Arial" w:cs="Arial"/>
        </w:rPr>
        <w:t>s</w:t>
      </w:r>
      <w:r w:rsidR="0027702E" w:rsidRPr="003B1E4C">
        <w:rPr>
          <w:rFonts w:ascii="Arial" w:hAnsi="Arial" w:cs="Arial"/>
        </w:rPr>
        <w:t xml:space="preserve"> small grants at an average of £300.00 per organisation.  This year</w:t>
      </w:r>
      <w:r w:rsidRPr="003B1E4C">
        <w:rPr>
          <w:rFonts w:ascii="Arial" w:hAnsi="Arial" w:cs="Arial"/>
        </w:rPr>
        <w:t xml:space="preserve"> grants w</w:t>
      </w:r>
      <w:r w:rsidR="0027702E" w:rsidRPr="003B1E4C">
        <w:rPr>
          <w:rFonts w:ascii="Arial" w:hAnsi="Arial" w:cs="Arial"/>
        </w:rPr>
        <w:t>ere award</w:t>
      </w:r>
      <w:r w:rsidR="00090DBD">
        <w:rPr>
          <w:rFonts w:ascii="Arial" w:hAnsi="Arial" w:cs="Arial"/>
        </w:rPr>
        <w:t xml:space="preserve">ed to creating an exhibition at the </w:t>
      </w:r>
      <w:r w:rsidR="009509FB">
        <w:rPr>
          <w:rFonts w:ascii="Arial" w:hAnsi="Arial" w:cs="Arial"/>
        </w:rPr>
        <w:t>Liverpool</w:t>
      </w:r>
      <w:r w:rsidR="00090DBD">
        <w:rPr>
          <w:rFonts w:ascii="Arial" w:hAnsi="Arial" w:cs="Arial"/>
        </w:rPr>
        <w:t xml:space="preserve"> Central Library on the history of Liverpool Black Musicians, Blooming Lodge Lane, Merseyside Dance Roots Project, and a trip for children during school holidays.</w:t>
      </w:r>
    </w:p>
    <w:p w:rsidR="00D74348" w:rsidRPr="003B1E4C" w:rsidRDefault="00D74348" w:rsidP="002427A2">
      <w:pPr>
        <w:tabs>
          <w:tab w:val="left" w:pos="6600"/>
        </w:tabs>
        <w:rPr>
          <w:rFonts w:ascii="Arial" w:hAnsi="Arial" w:cs="Arial"/>
        </w:rPr>
      </w:pPr>
    </w:p>
    <w:p w:rsidR="00090DBD" w:rsidRDefault="00090DBD" w:rsidP="002427A2">
      <w:pPr>
        <w:tabs>
          <w:tab w:val="left" w:pos="6600"/>
        </w:tabs>
        <w:rPr>
          <w:rFonts w:ascii="Arial" w:hAnsi="Arial" w:cs="Arial"/>
        </w:rPr>
      </w:pPr>
      <w:r>
        <w:rPr>
          <w:rFonts w:ascii="Arial" w:hAnsi="Arial" w:cs="Arial"/>
        </w:rPr>
        <w:t>As well as supporting small voluntary organisations, we also deliver community projects ourselves, we were truly honoured to be recognised for our Schools Digital Loop project with Square One Productions.  The project worked with Archbishop Blanche School, The Unity youth club and our elders in developing a video to be safe on social media and also enabled our young people to teach the elders on using social media.  This project was supported with funding from Picton Ward Councillor Neighbourhood fund</w:t>
      </w:r>
    </w:p>
    <w:p w:rsidR="00090DBD" w:rsidRDefault="00090DBD" w:rsidP="002427A2">
      <w:pPr>
        <w:tabs>
          <w:tab w:val="left" w:pos="6600"/>
        </w:tabs>
        <w:rPr>
          <w:rFonts w:ascii="Arial" w:hAnsi="Arial" w:cs="Arial"/>
        </w:rPr>
      </w:pPr>
    </w:p>
    <w:p w:rsidR="00242ACF" w:rsidRPr="003B1E4C" w:rsidRDefault="00FB0FFD" w:rsidP="002427A2">
      <w:pPr>
        <w:tabs>
          <w:tab w:val="left" w:pos="6600"/>
        </w:tabs>
        <w:rPr>
          <w:rFonts w:ascii="Arial" w:hAnsi="Arial" w:cs="Arial"/>
        </w:rPr>
      </w:pPr>
      <w:r w:rsidRPr="003B1E4C">
        <w:rPr>
          <w:rFonts w:ascii="Arial" w:hAnsi="Arial" w:cs="Arial"/>
        </w:rPr>
        <w:t xml:space="preserve">Partnership working is a something that we believe helps to deliver stronger outcomes for </w:t>
      </w:r>
      <w:r w:rsidR="00090DBD">
        <w:rPr>
          <w:rFonts w:ascii="Arial" w:hAnsi="Arial" w:cs="Arial"/>
        </w:rPr>
        <w:t>our communities</w:t>
      </w:r>
      <w:r w:rsidRPr="003B1E4C">
        <w:rPr>
          <w:rFonts w:ascii="Arial" w:hAnsi="Arial" w:cs="Arial"/>
        </w:rPr>
        <w:t xml:space="preserve">.  This year we have worked in partnership with </w:t>
      </w:r>
      <w:r w:rsidR="00090DBD">
        <w:rPr>
          <w:rFonts w:ascii="Arial" w:hAnsi="Arial" w:cs="Arial"/>
        </w:rPr>
        <w:t xml:space="preserve">Anthony Walker Foundation and Arch Bishop Blanch School to promote the message of </w:t>
      </w:r>
      <w:r w:rsidR="009509FB">
        <w:rPr>
          <w:rFonts w:ascii="Arial" w:hAnsi="Arial" w:cs="Arial"/>
        </w:rPr>
        <w:t>anti-hate</w:t>
      </w:r>
      <w:r w:rsidR="00090DBD">
        <w:rPr>
          <w:rFonts w:ascii="Arial" w:hAnsi="Arial" w:cs="Arial"/>
        </w:rPr>
        <w:t xml:space="preserve"> crime and to promote inclusion.  We have taken an active lead in campaigning with our community to stop gun and knife crime following the fatal shooting of Yusuf Sonko</w:t>
      </w:r>
      <w:r w:rsidR="00B629A2">
        <w:rPr>
          <w:rFonts w:ascii="Arial" w:hAnsi="Arial" w:cs="Arial"/>
        </w:rPr>
        <w:t xml:space="preserve"> and continue to work with many community and voluntary </w:t>
      </w:r>
      <w:r w:rsidR="009509FB">
        <w:rPr>
          <w:rFonts w:ascii="Arial" w:hAnsi="Arial" w:cs="Arial"/>
        </w:rPr>
        <w:t>organisations such</w:t>
      </w:r>
      <w:r w:rsidR="00B629A2">
        <w:rPr>
          <w:rFonts w:ascii="Arial" w:hAnsi="Arial" w:cs="Arial"/>
        </w:rPr>
        <w:t xml:space="preserve"> as </w:t>
      </w:r>
      <w:r w:rsidR="00D74348">
        <w:rPr>
          <w:rFonts w:ascii="Arial" w:hAnsi="Arial" w:cs="Arial"/>
        </w:rPr>
        <w:t xml:space="preserve">Unity Youth Club, Liverpool City Council Youth Service, </w:t>
      </w:r>
      <w:r w:rsidR="00BA3579">
        <w:rPr>
          <w:rFonts w:ascii="Arial" w:hAnsi="Arial" w:cs="Arial"/>
        </w:rPr>
        <w:t>Everyman Theatre, Squash Nutrition</w:t>
      </w:r>
      <w:r w:rsidR="00DD1CA0">
        <w:rPr>
          <w:rFonts w:ascii="Arial" w:hAnsi="Arial" w:cs="Arial"/>
        </w:rPr>
        <w:t>, Pakistan Multi-Cultural Association, Blackburne House</w:t>
      </w:r>
      <w:r w:rsidR="00BA3579">
        <w:rPr>
          <w:rFonts w:ascii="Arial" w:hAnsi="Arial" w:cs="Arial"/>
        </w:rPr>
        <w:t xml:space="preserve"> </w:t>
      </w:r>
      <w:r w:rsidRPr="003B1E4C">
        <w:rPr>
          <w:rFonts w:ascii="Arial" w:hAnsi="Arial" w:cs="Arial"/>
        </w:rPr>
        <w:t>and the Afro-Caribbean and Friends Lunch Club to provide a range of diversity and health and wellbeing events.</w:t>
      </w:r>
    </w:p>
    <w:p w:rsidR="00242ACF" w:rsidRDefault="00242ACF" w:rsidP="002427A2">
      <w:pPr>
        <w:tabs>
          <w:tab w:val="left" w:pos="6600"/>
        </w:tabs>
        <w:rPr>
          <w:rFonts w:ascii="Arial" w:hAnsi="Arial" w:cs="Arial"/>
        </w:rPr>
      </w:pPr>
    </w:p>
    <w:p w:rsidR="00B629A2" w:rsidRDefault="00B629A2" w:rsidP="002427A2">
      <w:pPr>
        <w:tabs>
          <w:tab w:val="left" w:pos="6600"/>
        </w:tabs>
        <w:rPr>
          <w:rFonts w:ascii="Arial" w:hAnsi="Arial" w:cs="Arial"/>
        </w:rPr>
      </w:pPr>
      <w:r>
        <w:rPr>
          <w:rFonts w:ascii="Arial" w:hAnsi="Arial" w:cs="Arial"/>
        </w:rPr>
        <w:t>One of our projects that we are extremely proud of is our annual Young Achiever Awards.  Now in our 7</w:t>
      </w:r>
      <w:r w:rsidRPr="00B629A2">
        <w:rPr>
          <w:rFonts w:ascii="Arial" w:hAnsi="Arial" w:cs="Arial"/>
          <w:vertAlign w:val="superscript"/>
        </w:rPr>
        <w:t>th</w:t>
      </w:r>
      <w:r>
        <w:rPr>
          <w:rFonts w:ascii="Arial" w:hAnsi="Arial" w:cs="Arial"/>
        </w:rPr>
        <w:t xml:space="preserve"> year, the annual achiever awards </w:t>
      </w:r>
      <w:r w:rsidR="009509FB">
        <w:rPr>
          <w:rFonts w:ascii="Arial" w:hAnsi="Arial" w:cs="Arial"/>
        </w:rPr>
        <w:t>recognise</w:t>
      </w:r>
      <w:r>
        <w:rPr>
          <w:rFonts w:ascii="Arial" w:hAnsi="Arial" w:cs="Arial"/>
        </w:rPr>
        <w:t xml:space="preserve"> the positive achievements of our young people.  This is a really important project as we know that it is critical for our young people to have positive role models, and for the younger generation to see that young black and ethnic minority can achieve great things with hard work and determination.</w:t>
      </w:r>
    </w:p>
    <w:p w:rsidR="000738DD" w:rsidRPr="000738DD" w:rsidRDefault="000738DD" w:rsidP="002427A2">
      <w:pPr>
        <w:tabs>
          <w:tab w:val="left" w:pos="6600"/>
        </w:tabs>
        <w:rPr>
          <w:rFonts w:ascii="Arial" w:hAnsi="Arial" w:cs="Arial"/>
          <w:sz w:val="8"/>
          <w:szCs w:val="8"/>
        </w:rPr>
      </w:pPr>
    </w:p>
    <w:p w:rsidR="00B629A2" w:rsidRPr="003B1E4C" w:rsidRDefault="006E1463" w:rsidP="000738DD">
      <w:pPr>
        <w:tabs>
          <w:tab w:val="left" w:pos="6600"/>
        </w:tabs>
        <w:jc w:val="center"/>
        <w:rPr>
          <w:rFonts w:ascii="Arial" w:hAnsi="Arial" w:cs="Arial"/>
        </w:rPr>
      </w:pPr>
      <w:r>
        <w:rPr>
          <w:noProof/>
          <w:lang w:eastAsia="en-GB"/>
        </w:rPr>
        <w:drawing>
          <wp:inline distT="0" distB="0" distL="0" distR="0">
            <wp:extent cx="3648075" cy="2426764"/>
            <wp:effectExtent l="0" t="0" r="0" b="0"/>
            <wp:docPr id="10" name="Picture 10" descr="C:\Users\beverley.betteridge\AppData\Local\Microsoft\Windows\INetCache\Content.Word\Young Achievers 201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erley.betteridge\AppData\Local\Microsoft\Windows\INetCache\Content.Word\Young Achievers 2017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8598" cy="2453721"/>
                    </a:xfrm>
                    <a:prstGeom prst="rect">
                      <a:avLst/>
                    </a:prstGeom>
                    <a:noFill/>
                    <a:ln>
                      <a:noFill/>
                    </a:ln>
                  </pic:spPr>
                </pic:pic>
              </a:graphicData>
            </a:graphic>
          </wp:inline>
        </w:drawing>
      </w:r>
    </w:p>
    <w:p w:rsidR="005E0850" w:rsidRPr="003B1E4C" w:rsidRDefault="005E0850" w:rsidP="002427A2">
      <w:pPr>
        <w:tabs>
          <w:tab w:val="left" w:pos="6600"/>
        </w:tabs>
        <w:rPr>
          <w:rFonts w:ascii="Arial" w:hAnsi="Arial" w:cs="Arial"/>
          <w:b/>
        </w:rPr>
      </w:pPr>
      <w:r w:rsidRPr="003B1E4C">
        <w:rPr>
          <w:rFonts w:ascii="Arial" w:hAnsi="Arial" w:cs="Arial"/>
          <w:b/>
        </w:rPr>
        <w:lastRenderedPageBreak/>
        <w:t>The Board</w:t>
      </w:r>
    </w:p>
    <w:p w:rsidR="005E0850" w:rsidRPr="003B1E4C" w:rsidRDefault="005E0850" w:rsidP="002427A2">
      <w:pPr>
        <w:tabs>
          <w:tab w:val="left" w:pos="6600"/>
        </w:tabs>
        <w:rPr>
          <w:rFonts w:ascii="Arial" w:hAnsi="Arial" w:cs="Arial"/>
          <w:b/>
        </w:rPr>
      </w:pPr>
    </w:p>
    <w:p w:rsidR="005E0850" w:rsidRPr="003B1E4C" w:rsidRDefault="005E0850" w:rsidP="002427A2">
      <w:pPr>
        <w:tabs>
          <w:tab w:val="left" w:pos="6600"/>
        </w:tabs>
        <w:rPr>
          <w:rFonts w:ascii="Arial" w:hAnsi="Arial" w:cs="Arial"/>
        </w:rPr>
      </w:pPr>
      <w:r w:rsidRPr="003B1E4C">
        <w:rPr>
          <w:rFonts w:ascii="Arial" w:hAnsi="Arial" w:cs="Arial"/>
        </w:rPr>
        <w:t>Our Board is responsible for the effective governance and management of the Associations affairs.  This includes:</w:t>
      </w:r>
    </w:p>
    <w:p w:rsidR="005E0850" w:rsidRPr="003B1E4C" w:rsidRDefault="005E0850" w:rsidP="005E0850">
      <w:pPr>
        <w:pStyle w:val="ListParagraph"/>
        <w:numPr>
          <w:ilvl w:val="0"/>
          <w:numId w:val="1"/>
        </w:numPr>
        <w:tabs>
          <w:tab w:val="left" w:pos="6600"/>
        </w:tabs>
        <w:rPr>
          <w:rFonts w:ascii="Arial" w:hAnsi="Arial" w:cs="Arial"/>
        </w:rPr>
      </w:pPr>
      <w:r w:rsidRPr="003B1E4C">
        <w:rPr>
          <w:rFonts w:ascii="Arial" w:hAnsi="Arial" w:cs="Arial"/>
        </w:rPr>
        <w:t>Agreeing the Association’s strategic direction;</w:t>
      </w:r>
    </w:p>
    <w:p w:rsidR="005E0850" w:rsidRPr="003B1E4C" w:rsidRDefault="005E0850" w:rsidP="005E0850">
      <w:pPr>
        <w:pStyle w:val="ListParagraph"/>
        <w:numPr>
          <w:ilvl w:val="0"/>
          <w:numId w:val="1"/>
        </w:numPr>
        <w:tabs>
          <w:tab w:val="left" w:pos="6600"/>
        </w:tabs>
        <w:rPr>
          <w:rFonts w:ascii="Arial" w:hAnsi="Arial" w:cs="Arial"/>
        </w:rPr>
      </w:pPr>
      <w:r w:rsidRPr="003B1E4C">
        <w:rPr>
          <w:rFonts w:ascii="Arial" w:hAnsi="Arial" w:cs="Arial"/>
        </w:rPr>
        <w:t>Approving our policies</w:t>
      </w:r>
    </w:p>
    <w:p w:rsidR="005E0850" w:rsidRPr="003B1E4C" w:rsidRDefault="005E0850" w:rsidP="005E0850">
      <w:pPr>
        <w:pStyle w:val="ListParagraph"/>
        <w:numPr>
          <w:ilvl w:val="0"/>
          <w:numId w:val="1"/>
        </w:numPr>
        <w:tabs>
          <w:tab w:val="left" w:pos="6600"/>
        </w:tabs>
        <w:rPr>
          <w:rFonts w:ascii="Arial" w:hAnsi="Arial" w:cs="Arial"/>
        </w:rPr>
      </w:pPr>
      <w:r w:rsidRPr="003B1E4C">
        <w:rPr>
          <w:rFonts w:ascii="Arial" w:hAnsi="Arial" w:cs="Arial"/>
        </w:rPr>
        <w:t xml:space="preserve">Protecting the Associations funds and assets and </w:t>
      </w:r>
    </w:p>
    <w:p w:rsidR="005E0850" w:rsidRPr="003B1E4C" w:rsidRDefault="005E0850" w:rsidP="005E0850">
      <w:pPr>
        <w:pStyle w:val="ListParagraph"/>
        <w:numPr>
          <w:ilvl w:val="0"/>
          <w:numId w:val="1"/>
        </w:numPr>
        <w:tabs>
          <w:tab w:val="left" w:pos="6600"/>
        </w:tabs>
        <w:rPr>
          <w:rFonts w:ascii="Arial" w:hAnsi="Arial" w:cs="Arial"/>
        </w:rPr>
      </w:pPr>
      <w:r w:rsidRPr="003B1E4C">
        <w:rPr>
          <w:rFonts w:ascii="Arial" w:hAnsi="Arial" w:cs="Arial"/>
        </w:rPr>
        <w:t xml:space="preserve">Making sure that we operate in accordance with the law and regulatory </w:t>
      </w:r>
      <w:r w:rsidR="002F787E" w:rsidRPr="003B1E4C">
        <w:rPr>
          <w:rFonts w:ascii="Arial" w:hAnsi="Arial" w:cs="Arial"/>
        </w:rPr>
        <w:t>requirements</w:t>
      </w:r>
    </w:p>
    <w:p w:rsidR="002F787E" w:rsidRPr="003B1E4C" w:rsidRDefault="002F787E" w:rsidP="002F787E">
      <w:pPr>
        <w:tabs>
          <w:tab w:val="left" w:pos="6600"/>
        </w:tabs>
        <w:rPr>
          <w:rFonts w:ascii="Arial" w:hAnsi="Arial" w:cs="Arial"/>
        </w:rPr>
      </w:pPr>
    </w:p>
    <w:p w:rsidR="0019649D" w:rsidRDefault="00B629A2" w:rsidP="002F787E">
      <w:pPr>
        <w:tabs>
          <w:tab w:val="left" w:pos="6600"/>
        </w:tabs>
        <w:rPr>
          <w:rFonts w:ascii="Arial" w:hAnsi="Arial" w:cs="Arial"/>
        </w:rPr>
      </w:pPr>
      <w:r>
        <w:rPr>
          <w:rFonts w:ascii="Arial" w:hAnsi="Arial" w:cs="Arial"/>
        </w:rPr>
        <w:t>Jamela El-</w:t>
      </w:r>
      <w:r w:rsidR="009509FB">
        <w:rPr>
          <w:rFonts w:ascii="Arial" w:hAnsi="Arial" w:cs="Arial"/>
        </w:rPr>
        <w:t>Gadhy</w:t>
      </w:r>
      <w:r>
        <w:rPr>
          <w:rFonts w:ascii="Arial" w:hAnsi="Arial" w:cs="Arial"/>
        </w:rPr>
        <w:t xml:space="preserve"> Resigned in September 2017.  The Board gave thanks to Jamela for all of her hard work and   commitment to Steve Biko Housing Association.  J</w:t>
      </w:r>
      <w:r w:rsidR="008F4FBC">
        <w:rPr>
          <w:rFonts w:ascii="Arial" w:hAnsi="Arial" w:cs="Arial"/>
        </w:rPr>
        <w:t>amela had served as a Board member since February 2011.</w:t>
      </w:r>
    </w:p>
    <w:p w:rsidR="00B629A2" w:rsidRDefault="00B629A2" w:rsidP="002F787E">
      <w:pPr>
        <w:tabs>
          <w:tab w:val="left" w:pos="6600"/>
        </w:tabs>
        <w:rPr>
          <w:rFonts w:ascii="Arial" w:hAnsi="Arial" w:cs="Arial"/>
        </w:rPr>
      </w:pPr>
    </w:p>
    <w:p w:rsidR="006557FF" w:rsidRPr="003B1E4C" w:rsidRDefault="006557FF" w:rsidP="002F787E">
      <w:pPr>
        <w:tabs>
          <w:tab w:val="left" w:pos="6600"/>
        </w:tabs>
        <w:rPr>
          <w:rFonts w:ascii="Arial" w:hAnsi="Arial" w:cs="Arial"/>
          <w:b/>
        </w:rPr>
      </w:pPr>
      <w:r w:rsidRPr="003B1E4C">
        <w:rPr>
          <w:rFonts w:ascii="Arial" w:hAnsi="Arial" w:cs="Arial"/>
          <w:b/>
        </w:rPr>
        <w:t>Customer Service</w:t>
      </w:r>
    </w:p>
    <w:p w:rsidR="006557FF" w:rsidRPr="003B1E4C" w:rsidRDefault="006557FF" w:rsidP="002F787E">
      <w:pPr>
        <w:tabs>
          <w:tab w:val="left" w:pos="6600"/>
        </w:tabs>
        <w:rPr>
          <w:rFonts w:ascii="Arial" w:hAnsi="Arial" w:cs="Arial"/>
          <w:b/>
        </w:rPr>
      </w:pPr>
    </w:p>
    <w:p w:rsidR="006557FF" w:rsidRPr="003B1E4C" w:rsidRDefault="006557FF" w:rsidP="002F787E">
      <w:pPr>
        <w:tabs>
          <w:tab w:val="left" w:pos="6600"/>
        </w:tabs>
        <w:rPr>
          <w:rFonts w:ascii="Arial" w:hAnsi="Arial" w:cs="Arial"/>
        </w:rPr>
      </w:pPr>
      <w:r w:rsidRPr="003B1E4C">
        <w:rPr>
          <w:rFonts w:ascii="Arial" w:hAnsi="Arial" w:cs="Arial"/>
        </w:rPr>
        <w:t xml:space="preserve">The Association directly employs our Director, Tracey Gore, Ustar Miah Housing and Neighbourhood Services Manager, Beverley Williams, Community Regeneration Manager, Mohamoud Hassan Housing &amp; </w:t>
      </w:r>
      <w:r w:rsidR="00440C6C" w:rsidRPr="003B1E4C">
        <w:rPr>
          <w:rFonts w:ascii="Arial" w:hAnsi="Arial" w:cs="Arial"/>
        </w:rPr>
        <w:t>Neighbourhood</w:t>
      </w:r>
      <w:r w:rsidRPr="003B1E4C">
        <w:rPr>
          <w:rFonts w:ascii="Arial" w:hAnsi="Arial" w:cs="Arial"/>
        </w:rPr>
        <w:t xml:space="preserve"> Services Officer, Beverley </w:t>
      </w:r>
      <w:r w:rsidR="00440C6C" w:rsidRPr="003B1E4C">
        <w:rPr>
          <w:rFonts w:ascii="Arial" w:hAnsi="Arial" w:cs="Arial"/>
        </w:rPr>
        <w:t>Betteridge</w:t>
      </w:r>
      <w:r w:rsidRPr="003B1E4C">
        <w:rPr>
          <w:rFonts w:ascii="Arial" w:hAnsi="Arial" w:cs="Arial"/>
        </w:rPr>
        <w:t xml:space="preserve"> Office Manager, Shelique Braithwaite reception/admin officer and Cleaner Sue Condon.</w:t>
      </w:r>
      <w:r w:rsidR="008F4FBC">
        <w:rPr>
          <w:rFonts w:ascii="Arial" w:hAnsi="Arial" w:cs="Arial"/>
        </w:rPr>
        <w:t xml:space="preserve">  We said a fond farewell to our Independent Living Officer Beverley Thompson who retired in December 2017 after 13 years </w:t>
      </w:r>
      <w:r w:rsidR="009244A9">
        <w:rPr>
          <w:rFonts w:ascii="Arial" w:hAnsi="Arial" w:cs="Arial"/>
        </w:rPr>
        <w:t>of service.  We wish Beverly our very best for her retirement.  We also welcomed Yasmin Ogleh as the new Independent Living Officer to Hector Peterson Court.</w:t>
      </w:r>
    </w:p>
    <w:p w:rsidR="00215AB3" w:rsidRPr="003B1E4C" w:rsidRDefault="00215AB3" w:rsidP="002F787E">
      <w:pPr>
        <w:tabs>
          <w:tab w:val="left" w:pos="6600"/>
        </w:tabs>
        <w:rPr>
          <w:rFonts w:ascii="Arial" w:hAnsi="Arial" w:cs="Arial"/>
        </w:rPr>
      </w:pPr>
    </w:p>
    <w:p w:rsidR="00517EA4" w:rsidRPr="003B1E4C" w:rsidRDefault="009244A9" w:rsidP="00517EA4">
      <w:pPr>
        <w:tabs>
          <w:tab w:val="left" w:pos="6600"/>
        </w:tabs>
        <w:rPr>
          <w:rFonts w:ascii="Arial" w:hAnsi="Arial" w:cs="Arial"/>
        </w:rPr>
      </w:pPr>
      <w:r>
        <w:rPr>
          <w:rFonts w:ascii="Arial" w:hAnsi="Arial" w:cs="Arial"/>
        </w:rPr>
        <w:t>As previously reported we have</w:t>
      </w:r>
      <w:r w:rsidR="00AD2F9F">
        <w:rPr>
          <w:rFonts w:ascii="Arial" w:hAnsi="Arial" w:cs="Arial"/>
        </w:rPr>
        <w:t xml:space="preserve"> a new managing agent for our repairs and maintenance </w:t>
      </w:r>
      <w:r w:rsidR="009509FB">
        <w:rPr>
          <w:rFonts w:ascii="Arial" w:hAnsi="Arial" w:cs="Arial"/>
        </w:rPr>
        <w:t>services, South</w:t>
      </w:r>
      <w:r>
        <w:rPr>
          <w:rFonts w:ascii="Arial" w:hAnsi="Arial" w:cs="Arial"/>
        </w:rPr>
        <w:t xml:space="preserve"> Liverpool Homes (SLH).</w:t>
      </w:r>
      <w:r w:rsidR="00AD2F9F">
        <w:rPr>
          <w:rFonts w:ascii="Arial" w:hAnsi="Arial" w:cs="Arial"/>
        </w:rPr>
        <w:t xml:space="preserve">  We </w:t>
      </w:r>
      <w:r w:rsidR="00517EA4" w:rsidRPr="003B1E4C">
        <w:rPr>
          <w:rFonts w:ascii="Arial" w:hAnsi="Arial" w:cs="Arial"/>
        </w:rPr>
        <w:t xml:space="preserve">still </w:t>
      </w:r>
      <w:r w:rsidR="00AD2F9F">
        <w:rPr>
          <w:rFonts w:ascii="Arial" w:hAnsi="Arial" w:cs="Arial"/>
        </w:rPr>
        <w:t xml:space="preserve">contract </w:t>
      </w:r>
      <w:r w:rsidR="00D75623" w:rsidRPr="003B1E4C">
        <w:rPr>
          <w:rFonts w:ascii="Arial" w:hAnsi="Arial" w:cs="Arial"/>
        </w:rPr>
        <w:t>North</w:t>
      </w:r>
      <w:r w:rsidR="00517EA4" w:rsidRPr="003B1E4C">
        <w:rPr>
          <w:rFonts w:ascii="Arial" w:hAnsi="Arial" w:cs="Arial"/>
        </w:rPr>
        <w:t xml:space="preserve"> West Housing Services (NWHS) to deliver </w:t>
      </w:r>
      <w:r w:rsidR="004F36AD" w:rsidRPr="003B1E4C">
        <w:rPr>
          <w:rFonts w:ascii="Arial" w:hAnsi="Arial" w:cs="Arial"/>
        </w:rPr>
        <w:t>our financial</w:t>
      </w:r>
      <w:r>
        <w:rPr>
          <w:rFonts w:ascii="Arial" w:hAnsi="Arial" w:cs="Arial"/>
        </w:rPr>
        <w:t xml:space="preserve"> services and hold r</w:t>
      </w:r>
      <w:r w:rsidR="00517EA4" w:rsidRPr="003B1E4C">
        <w:rPr>
          <w:rFonts w:ascii="Arial" w:hAnsi="Arial" w:cs="Arial"/>
        </w:rPr>
        <w:t xml:space="preserve">egular review meetings to monitor and manage </w:t>
      </w:r>
      <w:r w:rsidR="00AD2F9F">
        <w:rPr>
          <w:rFonts w:ascii="Arial" w:hAnsi="Arial" w:cs="Arial"/>
        </w:rPr>
        <w:t xml:space="preserve">financial </w:t>
      </w:r>
      <w:r w:rsidR="00517EA4" w:rsidRPr="003B1E4C">
        <w:rPr>
          <w:rFonts w:ascii="Arial" w:hAnsi="Arial" w:cs="Arial"/>
        </w:rPr>
        <w:t xml:space="preserve">performance, with a view to </w:t>
      </w:r>
      <w:r w:rsidR="00AD2F9F">
        <w:rPr>
          <w:rFonts w:ascii="Arial" w:hAnsi="Arial" w:cs="Arial"/>
        </w:rPr>
        <w:t>ensuring the association is well managed, financial viable and e</w:t>
      </w:r>
      <w:r w:rsidR="00517EA4" w:rsidRPr="003B1E4C">
        <w:rPr>
          <w:rFonts w:ascii="Arial" w:hAnsi="Arial" w:cs="Arial"/>
        </w:rPr>
        <w:t>nsuring value for money.</w:t>
      </w:r>
    </w:p>
    <w:p w:rsidR="00517EA4" w:rsidRPr="003B1E4C" w:rsidRDefault="00517EA4" w:rsidP="00517EA4">
      <w:pPr>
        <w:tabs>
          <w:tab w:val="left" w:pos="6600"/>
        </w:tabs>
        <w:rPr>
          <w:rFonts w:ascii="Arial" w:hAnsi="Arial" w:cs="Arial"/>
        </w:rPr>
      </w:pPr>
    </w:p>
    <w:p w:rsidR="00517EA4" w:rsidRPr="003B1E4C" w:rsidRDefault="00517EA4" w:rsidP="00517EA4">
      <w:pPr>
        <w:tabs>
          <w:tab w:val="left" w:pos="6600"/>
        </w:tabs>
        <w:rPr>
          <w:rFonts w:ascii="Arial" w:hAnsi="Arial" w:cs="Arial"/>
        </w:rPr>
      </w:pPr>
      <w:r w:rsidRPr="003B1E4C">
        <w:rPr>
          <w:rFonts w:ascii="Arial" w:hAnsi="Arial" w:cs="Arial"/>
        </w:rPr>
        <w:t>NWHS is a customer-owned and controlled organisation operating in accordance with democra</w:t>
      </w:r>
      <w:r w:rsidR="00F4230F" w:rsidRPr="003B1E4C">
        <w:rPr>
          <w:rFonts w:ascii="Arial" w:hAnsi="Arial" w:cs="Arial"/>
        </w:rPr>
        <w:t xml:space="preserve">tic co-operative principles, </w:t>
      </w:r>
      <w:r w:rsidRPr="003B1E4C">
        <w:rPr>
          <w:rFonts w:ascii="Arial" w:hAnsi="Arial" w:cs="Arial"/>
        </w:rPr>
        <w:t xml:space="preserve">the Association is a shareholding member of NWHS.  </w:t>
      </w:r>
    </w:p>
    <w:p w:rsidR="00517EA4" w:rsidRPr="003B1E4C" w:rsidRDefault="00517EA4" w:rsidP="00517EA4">
      <w:pPr>
        <w:tabs>
          <w:tab w:val="left" w:pos="6600"/>
        </w:tabs>
        <w:rPr>
          <w:rFonts w:ascii="Arial" w:hAnsi="Arial" w:cs="Arial"/>
        </w:rPr>
      </w:pPr>
    </w:p>
    <w:p w:rsidR="00517EA4" w:rsidRDefault="00517EA4" w:rsidP="00517EA4">
      <w:pPr>
        <w:tabs>
          <w:tab w:val="left" w:pos="6600"/>
        </w:tabs>
        <w:rPr>
          <w:rFonts w:ascii="Arial" w:hAnsi="Arial" w:cs="Arial"/>
        </w:rPr>
      </w:pPr>
      <w:r w:rsidRPr="003B1E4C">
        <w:rPr>
          <w:rFonts w:ascii="Arial" w:hAnsi="Arial" w:cs="Arial"/>
        </w:rPr>
        <w:t>NWHS provide regular reports on financial performance to the Association’s Director and to the Board.</w:t>
      </w:r>
    </w:p>
    <w:p w:rsidR="00DD1CA0" w:rsidRDefault="00DD1CA0" w:rsidP="00517EA4">
      <w:pPr>
        <w:tabs>
          <w:tab w:val="left" w:pos="6600"/>
        </w:tabs>
        <w:rPr>
          <w:rFonts w:ascii="Arial" w:hAnsi="Arial" w:cs="Arial"/>
        </w:rPr>
      </w:pPr>
    </w:p>
    <w:p w:rsidR="00103FDD" w:rsidRDefault="00103FDD" w:rsidP="00517EA4">
      <w:pPr>
        <w:tabs>
          <w:tab w:val="left" w:pos="6600"/>
        </w:tabs>
        <w:rPr>
          <w:rFonts w:ascii="Arial" w:hAnsi="Arial" w:cs="Arial"/>
        </w:rPr>
      </w:pPr>
    </w:p>
    <w:p w:rsidR="00103FDD" w:rsidRPr="00103FDD" w:rsidRDefault="00103FDD" w:rsidP="00517EA4">
      <w:pPr>
        <w:tabs>
          <w:tab w:val="left" w:pos="6600"/>
        </w:tabs>
        <w:rPr>
          <w:rFonts w:ascii="Arial" w:hAnsi="Arial" w:cs="Arial"/>
          <w:b/>
        </w:rPr>
      </w:pPr>
      <w:r w:rsidRPr="00103FDD">
        <w:rPr>
          <w:rFonts w:ascii="Arial" w:hAnsi="Arial" w:cs="Arial"/>
          <w:b/>
        </w:rPr>
        <w:t>Customer Satisfaction</w:t>
      </w:r>
    </w:p>
    <w:p w:rsidR="00103FDD" w:rsidRDefault="00103FDD" w:rsidP="00103FDD">
      <w:pPr>
        <w:tabs>
          <w:tab w:val="left" w:pos="6600"/>
        </w:tabs>
        <w:rPr>
          <w:rFonts w:ascii="Arial" w:hAnsi="Arial" w:cs="Arial"/>
        </w:rPr>
      </w:pPr>
    </w:p>
    <w:p w:rsidR="00103FDD" w:rsidRDefault="00103FDD" w:rsidP="00103FDD">
      <w:pPr>
        <w:tabs>
          <w:tab w:val="left" w:pos="6600"/>
        </w:tabs>
        <w:rPr>
          <w:rFonts w:ascii="Arial" w:hAnsi="Arial" w:cs="Arial"/>
        </w:rPr>
      </w:pPr>
      <w:r w:rsidRPr="00103FDD">
        <w:rPr>
          <w:rFonts w:ascii="Arial" w:hAnsi="Arial" w:cs="Arial"/>
        </w:rPr>
        <w:t>Our results have shown improvements of service from the last time we conducted our STAR survey for example:</w:t>
      </w:r>
    </w:p>
    <w:p w:rsidR="009244A9" w:rsidRPr="00103FDD" w:rsidRDefault="009244A9" w:rsidP="00103FDD">
      <w:pPr>
        <w:tabs>
          <w:tab w:val="left" w:pos="6600"/>
        </w:tabs>
        <w:rPr>
          <w:rFonts w:ascii="Arial" w:hAnsi="Arial" w:cs="Arial"/>
        </w:rPr>
      </w:pPr>
    </w:p>
    <w:tbl>
      <w:tblPr>
        <w:tblStyle w:val="TableGrid"/>
        <w:tblW w:w="9067" w:type="dxa"/>
        <w:tblLook w:val="04A0" w:firstRow="1" w:lastRow="0" w:firstColumn="1" w:lastColumn="0" w:noHBand="0" w:noVBand="1"/>
      </w:tblPr>
      <w:tblGrid>
        <w:gridCol w:w="5665"/>
        <w:gridCol w:w="1843"/>
        <w:gridCol w:w="1559"/>
      </w:tblGrid>
      <w:tr w:rsidR="00103FDD" w:rsidRPr="00103FDD" w:rsidTr="009244A9">
        <w:tc>
          <w:tcPr>
            <w:tcW w:w="5665" w:type="dxa"/>
            <w:shd w:val="clear" w:color="auto" w:fill="D0CECE" w:themeFill="background2" w:themeFillShade="E6"/>
          </w:tcPr>
          <w:p w:rsidR="00103FDD" w:rsidRPr="00103FDD" w:rsidRDefault="00103FDD" w:rsidP="009244A9">
            <w:pPr>
              <w:tabs>
                <w:tab w:val="left" w:pos="6600"/>
              </w:tabs>
              <w:rPr>
                <w:rFonts w:ascii="Arial" w:hAnsi="Arial" w:cs="Arial"/>
                <w:b/>
              </w:rPr>
            </w:pPr>
            <w:r w:rsidRPr="00103FDD">
              <w:rPr>
                <w:rFonts w:ascii="Arial" w:hAnsi="Arial" w:cs="Arial"/>
                <w:b/>
              </w:rPr>
              <w:t>Satisfaction</w:t>
            </w:r>
          </w:p>
        </w:tc>
        <w:tc>
          <w:tcPr>
            <w:tcW w:w="1843" w:type="dxa"/>
            <w:shd w:val="clear" w:color="auto" w:fill="D0CECE" w:themeFill="background2" w:themeFillShade="E6"/>
          </w:tcPr>
          <w:p w:rsidR="00103FDD" w:rsidRPr="00103FDD" w:rsidRDefault="00103FDD" w:rsidP="009244A9">
            <w:pPr>
              <w:tabs>
                <w:tab w:val="left" w:pos="6600"/>
              </w:tabs>
              <w:jc w:val="center"/>
              <w:rPr>
                <w:rFonts w:ascii="Arial" w:hAnsi="Arial" w:cs="Arial"/>
                <w:b/>
              </w:rPr>
            </w:pPr>
            <w:r w:rsidRPr="00103FDD">
              <w:rPr>
                <w:rFonts w:ascii="Arial" w:hAnsi="Arial" w:cs="Arial"/>
                <w:b/>
              </w:rPr>
              <w:t>2011</w:t>
            </w:r>
          </w:p>
        </w:tc>
        <w:tc>
          <w:tcPr>
            <w:tcW w:w="1559" w:type="dxa"/>
            <w:shd w:val="clear" w:color="auto" w:fill="D0CECE" w:themeFill="background2" w:themeFillShade="E6"/>
          </w:tcPr>
          <w:p w:rsidR="00103FDD" w:rsidRPr="00103FDD" w:rsidRDefault="00103FDD" w:rsidP="009244A9">
            <w:pPr>
              <w:tabs>
                <w:tab w:val="left" w:pos="6600"/>
              </w:tabs>
              <w:jc w:val="center"/>
              <w:rPr>
                <w:rFonts w:ascii="Arial" w:hAnsi="Arial" w:cs="Arial"/>
                <w:b/>
              </w:rPr>
            </w:pPr>
            <w:r w:rsidRPr="00103FDD">
              <w:rPr>
                <w:rFonts w:ascii="Arial" w:hAnsi="Arial" w:cs="Arial"/>
                <w:b/>
              </w:rPr>
              <w:t>2015</w:t>
            </w:r>
          </w:p>
        </w:tc>
      </w:tr>
      <w:tr w:rsidR="00103FDD" w:rsidRPr="00103FDD" w:rsidTr="009244A9">
        <w:tc>
          <w:tcPr>
            <w:tcW w:w="5665" w:type="dxa"/>
          </w:tcPr>
          <w:p w:rsidR="00103FDD" w:rsidRPr="00103FDD" w:rsidRDefault="00103FDD" w:rsidP="009244A9">
            <w:pPr>
              <w:tabs>
                <w:tab w:val="left" w:pos="6600"/>
              </w:tabs>
              <w:rPr>
                <w:rFonts w:ascii="Arial" w:hAnsi="Arial" w:cs="Arial"/>
              </w:rPr>
            </w:pPr>
            <w:r w:rsidRPr="00103FDD">
              <w:rPr>
                <w:rFonts w:ascii="Arial" w:hAnsi="Arial" w:cs="Arial"/>
              </w:rPr>
              <w:t>Tenant Satisfaction with overall service</w:t>
            </w:r>
          </w:p>
        </w:tc>
        <w:tc>
          <w:tcPr>
            <w:tcW w:w="1843" w:type="dxa"/>
          </w:tcPr>
          <w:p w:rsidR="00103FDD" w:rsidRPr="00103FDD" w:rsidRDefault="00103FDD" w:rsidP="009244A9">
            <w:pPr>
              <w:tabs>
                <w:tab w:val="left" w:pos="6600"/>
              </w:tabs>
              <w:jc w:val="center"/>
              <w:rPr>
                <w:rFonts w:ascii="Arial" w:hAnsi="Arial" w:cs="Arial"/>
              </w:rPr>
            </w:pPr>
            <w:r w:rsidRPr="00103FDD">
              <w:rPr>
                <w:rFonts w:ascii="Arial" w:hAnsi="Arial" w:cs="Arial"/>
              </w:rPr>
              <w:t>81%</w:t>
            </w:r>
          </w:p>
        </w:tc>
        <w:tc>
          <w:tcPr>
            <w:tcW w:w="1559" w:type="dxa"/>
          </w:tcPr>
          <w:p w:rsidR="00103FDD" w:rsidRPr="00103FDD" w:rsidRDefault="00103FDD" w:rsidP="009244A9">
            <w:pPr>
              <w:tabs>
                <w:tab w:val="left" w:pos="6600"/>
              </w:tabs>
              <w:jc w:val="center"/>
              <w:rPr>
                <w:rFonts w:ascii="Arial" w:hAnsi="Arial" w:cs="Arial"/>
              </w:rPr>
            </w:pPr>
            <w:r w:rsidRPr="00103FDD">
              <w:rPr>
                <w:rFonts w:ascii="Arial" w:hAnsi="Arial" w:cs="Arial"/>
              </w:rPr>
              <w:t>86%</w:t>
            </w:r>
          </w:p>
        </w:tc>
      </w:tr>
      <w:tr w:rsidR="00103FDD" w:rsidRPr="00103FDD" w:rsidTr="009244A9">
        <w:tc>
          <w:tcPr>
            <w:tcW w:w="5665" w:type="dxa"/>
          </w:tcPr>
          <w:p w:rsidR="00103FDD" w:rsidRPr="00103FDD" w:rsidRDefault="00103FDD" w:rsidP="009244A9">
            <w:pPr>
              <w:tabs>
                <w:tab w:val="left" w:pos="6600"/>
              </w:tabs>
              <w:rPr>
                <w:rFonts w:ascii="Arial" w:hAnsi="Arial" w:cs="Arial"/>
              </w:rPr>
            </w:pPr>
            <w:r w:rsidRPr="00103FDD">
              <w:rPr>
                <w:rFonts w:ascii="Arial" w:hAnsi="Arial" w:cs="Arial"/>
              </w:rPr>
              <w:t>Tenant satisfaction with quality of home</w:t>
            </w:r>
          </w:p>
        </w:tc>
        <w:tc>
          <w:tcPr>
            <w:tcW w:w="1843" w:type="dxa"/>
          </w:tcPr>
          <w:p w:rsidR="00103FDD" w:rsidRPr="00103FDD" w:rsidRDefault="00103FDD" w:rsidP="009244A9">
            <w:pPr>
              <w:tabs>
                <w:tab w:val="left" w:pos="6600"/>
              </w:tabs>
              <w:jc w:val="center"/>
              <w:rPr>
                <w:rFonts w:ascii="Arial" w:hAnsi="Arial" w:cs="Arial"/>
              </w:rPr>
            </w:pPr>
            <w:r w:rsidRPr="00103FDD">
              <w:rPr>
                <w:rFonts w:ascii="Arial" w:hAnsi="Arial" w:cs="Arial"/>
              </w:rPr>
              <w:t>81%</w:t>
            </w:r>
          </w:p>
        </w:tc>
        <w:tc>
          <w:tcPr>
            <w:tcW w:w="1559" w:type="dxa"/>
          </w:tcPr>
          <w:p w:rsidR="00103FDD" w:rsidRPr="00103FDD" w:rsidRDefault="00103FDD" w:rsidP="009244A9">
            <w:pPr>
              <w:tabs>
                <w:tab w:val="left" w:pos="6600"/>
              </w:tabs>
              <w:jc w:val="center"/>
              <w:rPr>
                <w:rFonts w:ascii="Arial" w:hAnsi="Arial" w:cs="Arial"/>
              </w:rPr>
            </w:pPr>
            <w:r w:rsidRPr="00103FDD">
              <w:rPr>
                <w:rFonts w:ascii="Arial" w:hAnsi="Arial" w:cs="Arial"/>
              </w:rPr>
              <w:t>84%</w:t>
            </w:r>
          </w:p>
        </w:tc>
      </w:tr>
      <w:tr w:rsidR="00103FDD" w:rsidRPr="00103FDD" w:rsidTr="009244A9">
        <w:trPr>
          <w:trHeight w:val="373"/>
        </w:trPr>
        <w:tc>
          <w:tcPr>
            <w:tcW w:w="5665" w:type="dxa"/>
          </w:tcPr>
          <w:p w:rsidR="00103FDD" w:rsidRPr="00103FDD" w:rsidRDefault="00103FDD" w:rsidP="009244A9">
            <w:pPr>
              <w:tabs>
                <w:tab w:val="left" w:pos="6600"/>
              </w:tabs>
              <w:rPr>
                <w:rFonts w:ascii="Arial" w:hAnsi="Arial" w:cs="Arial"/>
              </w:rPr>
            </w:pPr>
            <w:r w:rsidRPr="00103FDD">
              <w:rPr>
                <w:rFonts w:ascii="Arial" w:hAnsi="Arial" w:cs="Arial"/>
              </w:rPr>
              <w:t>Satisfaction that rent provides value for money</w:t>
            </w:r>
          </w:p>
        </w:tc>
        <w:tc>
          <w:tcPr>
            <w:tcW w:w="1843" w:type="dxa"/>
          </w:tcPr>
          <w:p w:rsidR="00103FDD" w:rsidRPr="00103FDD" w:rsidRDefault="00103FDD" w:rsidP="009244A9">
            <w:pPr>
              <w:tabs>
                <w:tab w:val="left" w:pos="6600"/>
              </w:tabs>
              <w:jc w:val="center"/>
              <w:rPr>
                <w:rFonts w:ascii="Arial" w:hAnsi="Arial" w:cs="Arial"/>
              </w:rPr>
            </w:pPr>
            <w:r w:rsidRPr="00103FDD">
              <w:rPr>
                <w:rFonts w:ascii="Arial" w:hAnsi="Arial" w:cs="Arial"/>
              </w:rPr>
              <w:t>78%</w:t>
            </w:r>
          </w:p>
        </w:tc>
        <w:tc>
          <w:tcPr>
            <w:tcW w:w="1559" w:type="dxa"/>
          </w:tcPr>
          <w:p w:rsidR="00103FDD" w:rsidRPr="00103FDD" w:rsidRDefault="00103FDD" w:rsidP="009244A9">
            <w:pPr>
              <w:tabs>
                <w:tab w:val="left" w:pos="6600"/>
              </w:tabs>
              <w:jc w:val="center"/>
              <w:rPr>
                <w:rFonts w:ascii="Arial" w:hAnsi="Arial" w:cs="Arial"/>
              </w:rPr>
            </w:pPr>
            <w:r w:rsidRPr="00103FDD">
              <w:rPr>
                <w:rFonts w:ascii="Arial" w:hAnsi="Arial" w:cs="Arial"/>
              </w:rPr>
              <w:t>84%</w:t>
            </w:r>
          </w:p>
        </w:tc>
      </w:tr>
      <w:tr w:rsidR="00103FDD" w:rsidRPr="00103FDD" w:rsidTr="009244A9">
        <w:tc>
          <w:tcPr>
            <w:tcW w:w="5665" w:type="dxa"/>
          </w:tcPr>
          <w:p w:rsidR="00103FDD" w:rsidRPr="00103FDD" w:rsidRDefault="00103FDD" w:rsidP="009244A9">
            <w:pPr>
              <w:tabs>
                <w:tab w:val="left" w:pos="6600"/>
              </w:tabs>
              <w:rPr>
                <w:rFonts w:ascii="Arial" w:hAnsi="Arial" w:cs="Arial"/>
              </w:rPr>
            </w:pPr>
            <w:r w:rsidRPr="00103FDD">
              <w:rPr>
                <w:rFonts w:ascii="Arial" w:hAnsi="Arial" w:cs="Arial"/>
              </w:rPr>
              <w:t xml:space="preserve">Tenant Satisfaction with repairs service </w:t>
            </w:r>
          </w:p>
        </w:tc>
        <w:tc>
          <w:tcPr>
            <w:tcW w:w="1843" w:type="dxa"/>
          </w:tcPr>
          <w:p w:rsidR="00103FDD" w:rsidRPr="00103FDD" w:rsidRDefault="00103FDD" w:rsidP="009244A9">
            <w:pPr>
              <w:tabs>
                <w:tab w:val="left" w:pos="6600"/>
              </w:tabs>
              <w:jc w:val="center"/>
              <w:rPr>
                <w:rFonts w:ascii="Arial" w:hAnsi="Arial" w:cs="Arial"/>
              </w:rPr>
            </w:pPr>
            <w:r w:rsidRPr="00103FDD">
              <w:rPr>
                <w:rFonts w:ascii="Arial" w:hAnsi="Arial" w:cs="Arial"/>
              </w:rPr>
              <w:t>71%</w:t>
            </w:r>
          </w:p>
        </w:tc>
        <w:tc>
          <w:tcPr>
            <w:tcW w:w="1559" w:type="dxa"/>
          </w:tcPr>
          <w:p w:rsidR="00103FDD" w:rsidRPr="00103FDD" w:rsidRDefault="00103FDD" w:rsidP="009244A9">
            <w:pPr>
              <w:tabs>
                <w:tab w:val="left" w:pos="6600"/>
              </w:tabs>
              <w:jc w:val="center"/>
              <w:rPr>
                <w:rFonts w:ascii="Arial" w:hAnsi="Arial" w:cs="Arial"/>
              </w:rPr>
            </w:pPr>
            <w:r w:rsidRPr="00103FDD">
              <w:rPr>
                <w:rFonts w:ascii="Arial" w:hAnsi="Arial" w:cs="Arial"/>
              </w:rPr>
              <w:t>78%</w:t>
            </w:r>
          </w:p>
        </w:tc>
      </w:tr>
    </w:tbl>
    <w:p w:rsidR="00103FDD" w:rsidRPr="00103FDD" w:rsidRDefault="00103FDD" w:rsidP="00103FDD">
      <w:pPr>
        <w:rPr>
          <w:rFonts w:ascii="Arial" w:hAnsi="Arial" w:cs="Arial"/>
        </w:rPr>
      </w:pPr>
    </w:p>
    <w:p w:rsidR="00103FDD" w:rsidRPr="003B1E4C" w:rsidRDefault="00103FDD" w:rsidP="00103FDD">
      <w:pPr>
        <w:rPr>
          <w:rFonts w:ascii="Arial" w:hAnsi="Arial" w:cs="Arial"/>
        </w:rPr>
      </w:pPr>
      <w:r w:rsidRPr="00103FDD">
        <w:rPr>
          <w:rFonts w:ascii="Arial" w:hAnsi="Arial" w:cs="Arial"/>
        </w:rPr>
        <w:t>In 2016 we carried out a mini survey conducted by LHT on our behalf.  We surveyed tenants on our repairs and customer service.</w:t>
      </w:r>
      <w:r>
        <w:rPr>
          <w:rFonts w:ascii="Arial" w:hAnsi="Arial" w:cs="Arial"/>
        </w:rPr>
        <w:t xml:space="preserve">  The survey results were reported to board and the outcomes where taken into consideration when reviewing our repairs and maintenance service.</w:t>
      </w:r>
    </w:p>
    <w:p w:rsidR="00103FDD" w:rsidRDefault="00103FDD" w:rsidP="00103FDD">
      <w:pPr>
        <w:rPr>
          <w:rFonts w:ascii="Arial" w:hAnsi="Arial" w:cs="Arial"/>
        </w:rPr>
      </w:pPr>
    </w:p>
    <w:p w:rsidR="00103FDD" w:rsidRPr="00103FDD" w:rsidRDefault="00103FDD" w:rsidP="00103FDD">
      <w:pPr>
        <w:rPr>
          <w:rFonts w:ascii="Arial" w:hAnsi="Arial" w:cs="Arial"/>
        </w:rPr>
      </w:pPr>
    </w:p>
    <w:tbl>
      <w:tblPr>
        <w:tblStyle w:val="TableGrid"/>
        <w:tblW w:w="9067" w:type="dxa"/>
        <w:tblLook w:val="04A0" w:firstRow="1" w:lastRow="0" w:firstColumn="1" w:lastColumn="0" w:noHBand="0" w:noVBand="1"/>
      </w:tblPr>
      <w:tblGrid>
        <w:gridCol w:w="6841"/>
        <w:gridCol w:w="2226"/>
      </w:tblGrid>
      <w:tr w:rsidR="00103FDD" w:rsidRPr="00103FDD" w:rsidTr="009244A9">
        <w:tc>
          <w:tcPr>
            <w:tcW w:w="5665" w:type="dxa"/>
            <w:shd w:val="clear" w:color="auto" w:fill="D0CECE" w:themeFill="background2" w:themeFillShade="E6"/>
          </w:tcPr>
          <w:p w:rsidR="00103FDD" w:rsidRPr="00103FDD" w:rsidRDefault="00103FDD" w:rsidP="009244A9">
            <w:pPr>
              <w:tabs>
                <w:tab w:val="left" w:pos="6600"/>
              </w:tabs>
              <w:rPr>
                <w:rFonts w:ascii="Arial" w:hAnsi="Arial" w:cs="Arial"/>
                <w:b/>
              </w:rPr>
            </w:pPr>
            <w:r w:rsidRPr="00103FDD">
              <w:rPr>
                <w:rFonts w:ascii="Arial" w:hAnsi="Arial" w:cs="Arial"/>
                <w:b/>
              </w:rPr>
              <w:t>Satisfaction</w:t>
            </w:r>
          </w:p>
        </w:tc>
        <w:tc>
          <w:tcPr>
            <w:tcW w:w="1843" w:type="dxa"/>
            <w:shd w:val="clear" w:color="auto" w:fill="D0CECE" w:themeFill="background2" w:themeFillShade="E6"/>
          </w:tcPr>
          <w:p w:rsidR="00103FDD" w:rsidRPr="00103FDD" w:rsidRDefault="00103FDD" w:rsidP="009244A9">
            <w:pPr>
              <w:tabs>
                <w:tab w:val="left" w:pos="6600"/>
              </w:tabs>
              <w:jc w:val="center"/>
              <w:rPr>
                <w:rFonts w:ascii="Arial" w:hAnsi="Arial" w:cs="Arial"/>
                <w:b/>
              </w:rPr>
            </w:pPr>
            <w:r w:rsidRPr="00103FDD">
              <w:rPr>
                <w:rFonts w:ascii="Arial" w:hAnsi="Arial" w:cs="Arial"/>
                <w:b/>
              </w:rPr>
              <w:t>2016</w:t>
            </w:r>
          </w:p>
        </w:tc>
      </w:tr>
      <w:tr w:rsidR="00103FDD" w:rsidRPr="00103FDD" w:rsidTr="009244A9">
        <w:tc>
          <w:tcPr>
            <w:tcW w:w="5665" w:type="dxa"/>
          </w:tcPr>
          <w:p w:rsidR="00103FDD" w:rsidRPr="00103FDD" w:rsidRDefault="00103FDD" w:rsidP="009244A9">
            <w:pPr>
              <w:tabs>
                <w:tab w:val="left" w:pos="6600"/>
              </w:tabs>
              <w:rPr>
                <w:rFonts w:ascii="Arial" w:hAnsi="Arial" w:cs="Arial"/>
              </w:rPr>
            </w:pPr>
            <w:r w:rsidRPr="00103FDD">
              <w:rPr>
                <w:rFonts w:ascii="Arial" w:hAnsi="Arial" w:cs="Arial"/>
              </w:rPr>
              <w:t>Tenant Satisfaction with overall service</w:t>
            </w:r>
          </w:p>
        </w:tc>
        <w:tc>
          <w:tcPr>
            <w:tcW w:w="1843" w:type="dxa"/>
          </w:tcPr>
          <w:p w:rsidR="00103FDD" w:rsidRPr="00103FDD" w:rsidRDefault="00103FDD" w:rsidP="009244A9">
            <w:pPr>
              <w:tabs>
                <w:tab w:val="left" w:pos="6600"/>
              </w:tabs>
              <w:jc w:val="center"/>
              <w:rPr>
                <w:rFonts w:ascii="Arial" w:hAnsi="Arial" w:cs="Arial"/>
              </w:rPr>
            </w:pPr>
            <w:r w:rsidRPr="00103FDD">
              <w:rPr>
                <w:rFonts w:ascii="Arial" w:hAnsi="Arial" w:cs="Arial"/>
              </w:rPr>
              <w:t>95%</w:t>
            </w:r>
          </w:p>
        </w:tc>
      </w:tr>
      <w:tr w:rsidR="00103FDD" w:rsidRPr="00103FDD" w:rsidTr="009244A9">
        <w:tc>
          <w:tcPr>
            <w:tcW w:w="5665" w:type="dxa"/>
          </w:tcPr>
          <w:p w:rsidR="00103FDD" w:rsidRPr="00103FDD" w:rsidRDefault="00103FDD" w:rsidP="009244A9">
            <w:pPr>
              <w:tabs>
                <w:tab w:val="left" w:pos="6600"/>
              </w:tabs>
              <w:rPr>
                <w:rFonts w:ascii="Arial" w:hAnsi="Arial" w:cs="Arial"/>
              </w:rPr>
            </w:pPr>
            <w:r w:rsidRPr="00103FDD">
              <w:rPr>
                <w:rFonts w:ascii="Arial" w:hAnsi="Arial" w:cs="Arial"/>
              </w:rPr>
              <w:t>Customer focus</w:t>
            </w:r>
          </w:p>
        </w:tc>
        <w:tc>
          <w:tcPr>
            <w:tcW w:w="1843" w:type="dxa"/>
          </w:tcPr>
          <w:p w:rsidR="00103FDD" w:rsidRPr="00103FDD" w:rsidRDefault="00103FDD" w:rsidP="009244A9">
            <w:pPr>
              <w:tabs>
                <w:tab w:val="left" w:pos="6600"/>
              </w:tabs>
              <w:jc w:val="center"/>
              <w:rPr>
                <w:rFonts w:ascii="Arial" w:hAnsi="Arial" w:cs="Arial"/>
              </w:rPr>
            </w:pPr>
            <w:r w:rsidRPr="00103FDD">
              <w:rPr>
                <w:rFonts w:ascii="Arial" w:hAnsi="Arial" w:cs="Arial"/>
              </w:rPr>
              <w:t>89%</w:t>
            </w:r>
          </w:p>
        </w:tc>
      </w:tr>
      <w:tr w:rsidR="00103FDD" w:rsidRPr="00103FDD" w:rsidTr="009244A9">
        <w:tc>
          <w:tcPr>
            <w:tcW w:w="5665" w:type="dxa"/>
          </w:tcPr>
          <w:p w:rsidR="00103FDD" w:rsidRPr="00103FDD" w:rsidRDefault="00103FDD" w:rsidP="009244A9">
            <w:pPr>
              <w:tabs>
                <w:tab w:val="left" w:pos="6600"/>
              </w:tabs>
              <w:rPr>
                <w:rFonts w:ascii="Arial" w:hAnsi="Arial" w:cs="Arial"/>
              </w:rPr>
            </w:pPr>
            <w:r w:rsidRPr="00103FDD">
              <w:rPr>
                <w:rFonts w:ascii="Arial" w:hAnsi="Arial" w:cs="Arial"/>
              </w:rPr>
              <w:t>Accessibility</w:t>
            </w:r>
          </w:p>
        </w:tc>
        <w:tc>
          <w:tcPr>
            <w:tcW w:w="1843" w:type="dxa"/>
          </w:tcPr>
          <w:p w:rsidR="00103FDD" w:rsidRPr="00103FDD" w:rsidRDefault="00103FDD" w:rsidP="009244A9">
            <w:pPr>
              <w:tabs>
                <w:tab w:val="left" w:pos="6600"/>
              </w:tabs>
              <w:jc w:val="center"/>
              <w:rPr>
                <w:rFonts w:ascii="Arial" w:hAnsi="Arial" w:cs="Arial"/>
              </w:rPr>
            </w:pPr>
            <w:r w:rsidRPr="00103FDD">
              <w:rPr>
                <w:rFonts w:ascii="Arial" w:hAnsi="Arial" w:cs="Arial"/>
              </w:rPr>
              <w:t>97%</w:t>
            </w:r>
          </w:p>
        </w:tc>
      </w:tr>
    </w:tbl>
    <w:p w:rsidR="00103FDD" w:rsidRDefault="00103FDD" w:rsidP="00215AB3">
      <w:pPr>
        <w:tabs>
          <w:tab w:val="left" w:pos="6600"/>
        </w:tabs>
        <w:rPr>
          <w:rFonts w:ascii="Arial" w:hAnsi="Arial" w:cs="Arial"/>
          <w:b/>
        </w:rPr>
      </w:pPr>
    </w:p>
    <w:p w:rsidR="00103FDD" w:rsidRDefault="009244A9" w:rsidP="00215AB3">
      <w:pPr>
        <w:tabs>
          <w:tab w:val="left" w:pos="6600"/>
        </w:tabs>
        <w:rPr>
          <w:rFonts w:ascii="Arial" w:hAnsi="Arial" w:cs="Arial"/>
        </w:rPr>
      </w:pPr>
      <w:r>
        <w:rPr>
          <w:rFonts w:ascii="Arial" w:hAnsi="Arial" w:cs="Arial"/>
        </w:rPr>
        <w:t xml:space="preserve">We have just completed a comprehensive tenant satisfaction survey.  The results will be available October 2018.  </w:t>
      </w:r>
    </w:p>
    <w:p w:rsidR="009244A9" w:rsidRDefault="009244A9" w:rsidP="00215AB3">
      <w:pPr>
        <w:tabs>
          <w:tab w:val="left" w:pos="6600"/>
        </w:tabs>
        <w:rPr>
          <w:rFonts w:ascii="Arial" w:hAnsi="Arial" w:cs="Arial"/>
        </w:rPr>
      </w:pPr>
    </w:p>
    <w:p w:rsidR="000738DD" w:rsidRPr="009244A9" w:rsidRDefault="000738DD" w:rsidP="00215AB3">
      <w:pPr>
        <w:tabs>
          <w:tab w:val="left" w:pos="6600"/>
        </w:tabs>
        <w:rPr>
          <w:rFonts w:ascii="Arial" w:hAnsi="Arial" w:cs="Arial"/>
        </w:rPr>
      </w:pPr>
    </w:p>
    <w:p w:rsidR="00C01FCC" w:rsidRPr="003B1E4C" w:rsidRDefault="00035FB6" w:rsidP="00215AB3">
      <w:pPr>
        <w:tabs>
          <w:tab w:val="left" w:pos="6600"/>
        </w:tabs>
        <w:rPr>
          <w:rFonts w:ascii="Arial" w:hAnsi="Arial" w:cs="Arial"/>
          <w:b/>
        </w:rPr>
      </w:pPr>
      <w:r w:rsidRPr="003B1E4C">
        <w:rPr>
          <w:rFonts w:ascii="Arial" w:hAnsi="Arial" w:cs="Arial"/>
          <w:b/>
        </w:rPr>
        <w:t>Planned Maintenance</w:t>
      </w:r>
    </w:p>
    <w:p w:rsidR="00C01FCC" w:rsidRPr="003B1E4C" w:rsidRDefault="00C01FCC" w:rsidP="00215AB3">
      <w:pPr>
        <w:tabs>
          <w:tab w:val="left" w:pos="6600"/>
        </w:tabs>
        <w:rPr>
          <w:rFonts w:ascii="Arial" w:hAnsi="Arial" w:cs="Arial"/>
          <w:b/>
        </w:rPr>
      </w:pPr>
    </w:p>
    <w:p w:rsidR="00C01FCC" w:rsidRPr="003B1E4C" w:rsidRDefault="00C01FCC" w:rsidP="00215AB3">
      <w:pPr>
        <w:tabs>
          <w:tab w:val="left" w:pos="6600"/>
        </w:tabs>
        <w:rPr>
          <w:rFonts w:ascii="Arial" w:hAnsi="Arial" w:cs="Arial"/>
        </w:rPr>
      </w:pPr>
      <w:r w:rsidRPr="003B1E4C">
        <w:rPr>
          <w:rFonts w:ascii="Arial" w:hAnsi="Arial" w:cs="Arial"/>
        </w:rPr>
        <w:t>In order to ensure that the Association received value for money in respect of our planned maintenance programme.  SBHA tender</w:t>
      </w:r>
      <w:r w:rsidR="000B5B6B" w:rsidRPr="003B1E4C">
        <w:rPr>
          <w:rFonts w:ascii="Arial" w:hAnsi="Arial" w:cs="Arial"/>
        </w:rPr>
        <w:t>ed</w:t>
      </w:r>
      <w:r w:rsidRPr="003B1E4C">
        <w:rPr>
          <w:rFonts w:ascii="Arial" w:hAnsi="Arial" w:cs="Arial"/>
        </w:rPr>
        <w:t xml:space="preserve"> for all of our</w:t>
      </w:r>
      <w:r w:rsidR="00F426BB" w:rsidRPr="003B1E4C">
        <w:rPr>
          <w:rFonts w:ascii="Arial" w:hAnsi="Arial" w:cs="Arial"/>
        </w:rPr>
        <w:t xml:space="preserve"> planned maintenance works.  Following a recent tender exercise for replacement windows</w:t>
      </w:r>
      <w:r w:rsidR="00035FB6" w:rsidRPr="003B1E4C">
        <w:rPr>
          <w:rFonts w:ascii="Arial" w:hAnsi="Arial" w:cs="Arial"/>
        </w:rPr>
        <w:t xml:space="preserve"> and </w:t>
      </w:r>
      <w:r w:rsidR="00AD2F9F">
        <w:rPr>
          <w:rFonts w:ascii="Arial" w:hAnsi="Arial" w:cs="Arial"/>
        </w:rPr>
        <w:t xml:space="preserve">kitchens.  </w:t>
      </w:r>
      <w:r w:rsidR="00F426BB" w:rsidRPr="003B1E4C">
        <w:rPr>
          <w:rFonts w:ascii="Arial" w:hAnsi="Arial" w:cs="Arial"/>
        </w:rPr>
        <w:t>Housing Maintenance Solutions were successful in providing us with a competitive tender</w:t>
      </w:r>
      <w:r w:rsidR="00035FB6" w:rsidRPr="003B1E4C">
        <w:rPr>
          <w:rFonts w:ascii="Arial" w:hAnsi="Arial" w:cs="Arial"/>
        </w:rPr>
        <w:t>.  We are pleased to report that the works</w:t>
      </w:r>
      <w:r w:rsidR="00F426BB" w:rsidRPr="003B1E4C">
        <w:rPr>
          <w:rFonts w:ascii="Arial" w:hAnsi="Arial" w:cs="Arial"/>
        </w:rPr>
        <w:t xml:space="preserve"> for </w:t>
      </w:r>
      <w:r w:rsidR="00035FB6" w:rsidRPr="003B1E4C">
        <w:rPr>
          <w:rFonts w:ascii="Arial" w:hAnsi="Arial" w:cs="Arial"/>
        </w:rPr>
        <w:t xml:space="preserve">the </w:t>
      </w:r>
      <w:r w:rsidR="00F426BB" w:rsidRPr="003B1E4C">
        <w:rPr>
          <w:rFonts w:ascii="Arial" w:hAnsi="Arial" w:cs="Arial"/>
        </w:rPr>
        <w:t>window</w:t>
      </w:r>
      <w:r w:rsidR="00AD2F9F">
        <w:rPr>
          <w:rFonts w:ascii="Arial" w:hAnsi="Arial" w:cs="Arial"/>
        </w:rPr>
        <w:t xml:space="preserve"> replacements at Windsor View 1</w:t>
      </w:r>
      <w:r w:rsidR="009244A9">
        <w:rPr>
          <w:rFonts w:ascii="Arial" w:hAnsi="Arial" w:cs="Arial"/>
        </w:rPr>
        <w:t>7</w:t>
      </w:r>
      <w:r w:rsidR="00AD2F9F">
        <w:rPr>
          <w:rFonts w:ascii="Arial" w:hAnsi="Arial" w:cs="Arial"/>
        </w:rPr>
        <w:t>/</w:t>
      </w:r>
      <w:r w:rsidR="009509FB">
        <w:rPr>
          <w:rFonts w:ascii="Arial" w:hAnsi="Arial" w:cs="Arial"/>
        </w:rPr>
        <w:t>18 are</w:t>
      </w:r>
      <w:r w:rsidR="009244A9">
        <w:rPr>
          <w:rFonts w:ascii="Arial" w:hAnsi="Arial" w:cs="Arial"/>
        </w:rPr>
        <w:t xml:space="preserve"> </w:t>
      </w:r>
      <w:r w:rsidR="00035FB6" w:rsidRPr="003B1E4C">
        <w:rPr>
          <w:rFonts w:ascii="Arial" w:hAnsi="Arial" w:cs="Arial"/>
        </w:rPr>
        <w:t xml:space="preserve">completed.  </w:t>
      </w:r>
      <w:r w:rsidR="00AD2F9F">
        <w:rPr>
          <w:rFonts w:ascii="Arial" w:hAnsi="Arial" w:cs="Arial"/>
        </w:rPr>
        <w:t>Windows at the remaining properties in the Lodge Lane area, Maitland Close and Dove Street, will be replaced during the 2018/19 financial year.  Our planned maintenance programme will focus on replacement windows</w:t>
      </w:r>
      <w:r w:rsidR="00DD1CA0">
        <w:rPr>
          <w:rFonts w:ascii="Arial" w:hAnsi="Arial" w:cs="Arial"/>
        </w:rPr>
        <w:t xml:space="preserve"> on all of our properties over the next 5 years.</w:t>
      </w:r>
    </w:p>
    <w:p w:rsidR="00035FB6" w:rsidRPr="003B1E4C" w:rsidRDefault="00035FB6" w:rsidP="00215AB3">
      <w:pPr>
        <w:tabs>
          <w:tab w:val="left" w:pos="6600"/>
        </w:tabs>
        <w:rPr>
          <w:rFonts w:ascii="Arial" w:hAnsi="Arial" w:cs="Arial"/>
        </w:rPr>
      </w:pPr>
    </w:p>
    <w:p w:rsidR="00035FB6" w:rsidRPr="003B1E4C" w:rsidRDefault="00035FB6" w:rsidP="00DD1CA0">
      <w:pPr>
        <w:tabs>
          <w:tab w:val="left" w:pos="6600"/>
        </w:tabs>
        <w:rPr>
          <w:rFonts w:ascii="Arial" w:hAnsi="Arial" w:cs="Arial"/>
          <w:b/>
        </w:rPr>
      </w:pPr>
      <w:r w:rsidRPr="003B1E4C">
        <w:rPr>
          <w:rFonts w:ascii="Arial" w:hAnsi="Arial" w:cs="Arial"/>
          <w:b/>
          <w:sz w:val="28"/>
        </w:rPr>
        <w:t xml:space="preserve">Complaints </w:t>
      </w:r>
      <w:r w:rsidRPr="003B1E4C">
        <w:rPr>
          <w:rFonts w:ascii="Arial" w:hAnsi="Arial" w:cs="Arial"/>
          <w:b/>
        </w:rPr>
        <w:t xml:space="preserve">     </w:t>
      </w:r>
    </w:p>
    <w:p w:rsidR="00035FB6" w:rsidRPr="003B1E4C" w:rsidRDefault="00035FB6" w:rsidP="00035FB6">
      <w:pPr>
        <w:tabs>
          <w:tab w:val="left" w:pos="6600"/>
        </w:tabs>
        <w:jc w:val="both"/>
        <w:rPr>
          <w:rFonts w:ascii="Arial" w:hAnsi="Arial" w:cs="Arial"/>
          <w:b/>
          <w:sz w:val="20"/>
        </w:rPr>
      </w:pPr>
    </w:p>
    <w:p w:rsidR="00035FB6" w:rsidRPr="003B1E4C" w:rsidRDefault="0065106F" w:rsidP="00035FB6">
      <w:pPr>
        <w:tabs>
          <w:tab w:val="left" w:pos="6600"/>
        </w:tabs>
        <w:jc w:val="both"/>
        <w:rPr>
          <w:rFonts w:ascii="Arial" w:hAnsi="Arial" w:cs="Arial"/>
          <w:b/>
          <w:sz w:val="20"/>
        </w:rPr>
      </w:pPr>
      <w:r w:rsidRPr="003B1E4C">
        <w:rPr>
          <w:rFonts w:ascii="Arial" w:hAnsi="Arial" w:cs="Arial"/>
          <w:b/>
          <w:noProof/>
          <w:lang w:eastAsia="en-GB"/>
        </w:rPr>
        <w:drawing>
          <wp:anchor distT="0" distB="0" distL="114300" distR="114300" simplePos="0" relativeHeight="251667456" behindDoc="1" locked="0" layoutInCell="1" allowOverlap="1" wp14:anchorId="3BC60F25" wp14:editId="383FD61C">
            <wp:simplePos x="0" y="0"/>
            <wp:positionH relativeFrom="margin">
              <wp:posOffset>-135890</wp:posOffset>
            </wp:positionH>
            <wp:positionV relativeFrom="page">
              <wp:posOffset>2098675</wp:posOffset>
            </wp:positionV>
            <wp:extent cx="921385" cy="921385"/>
            <wp:effectExtent l="0" t="0" r="0" b="0"/>
            <wp:wrapTight wrapText="bothSides">
              <wp:wrapPolygon edited="0">
                <wp:start x="0" y="0"/>
                <wp:lineTo x="0" y="20990"/>
                <wp:lineTo x="20990" y="20990"/>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page">
              <wp14:pctWidth>0</wp14:pctWidth>
            </wp14:sizeRelH>
            <wp14:sizeRelV relativeFrom="page">
              <wp14:pctHeight>0</wp14:pctHeight>
            </wp14:sizeRelV>
          </wp:anchor>
        </w:drawing>
      </w:r>
    </w:p>
    <w:p w:rsidR="00035FB6" w:rsidRPr="003B1E4C" w:rsidRDefault="00035FB6" w:rsidP="00035FB6">
      <w:pPr>
        <w:tabs>
          <w:tab w:val="left" w:pos="6600"/>
        </w:tabs>
        <w:jc w:val="both"/>
        <w:rPr>
          <w:rFonts w:ascii="Arial" w:hAnsi="Arial" w:cs="Arial"/>
        </w:rPr>
      </w:pPr>
      <w:r w:rsidRPr="003B1E4C">
        <w:rPr>
          <w:rFonts w:ascii="Arial" w:hAnsi="Arial" w:cs="Arial"/>
        </w:rPr>
        <w:t>While we try to provide the best possible services, things do sometimes go wrong.  When this happens, we try to resolve problems informally, but, where this is not possible, tenants can use our formal complaints policy.  We have been actively encouraging our tenants to use the complaints process as we feel that we learn a lot from complaints and use these to improve our service.  The outcomes of complaints are recorded and reported to the Board who use this information to improve our policies.</w:t>
      </w:r>
    </w:p>
    <w:p w:rsidR="00035FB6" w:rsidRPr="003B1E4C" w:rsidRDefault="00035FB6" w:rsidP="00035FB6">
      <w:pPr>
        <w:tabs>
          <w:tab w:val="left" w:pos="6600"/>
        </w:tabs>
        <w:jc w:val="both"/>
        <w:rPr>
          <w:rFonts w:ascii="Arial" w:hAnsi="Arial" w:cs="Arial"/>
        </w:rPr>
      </w:pPr>
    </w:p>
    <w:p w:rsidR="00035FB6" w:rsidRDefault="0059701B" w:rsidP="00035FB6">
      <w:pPr>
        <w:tabs>
          <w:tab w:val="left" w:pos="6600"/>
        </w:tabs>
        <w:jc w:val="both"/>
        <w:rPr>
          <w:rFonts w:ascii="Arial" w:hAnsi="Arial" w:cs="Arial"/>
        </w:rPr>
      </w:pPr>
      <w:r>
        <w:rPr>
          <w:rFonts w:ascii="Arial" w:hAnsi="Arial" w:cs="Arial"/>
        </w:rPr>
        <w:t>We received 7</w:t>
      </w:r>
      <w:r w:rsidR="00035FB6" w:rsidRPr="003B1E4C">
        <w:rPr>
          <w:rFonts w:ascii="Arial" w:hAnsi="Arial" w:cs="Arial"/>
        </w:rPr>
        <w:t xml:space="preserve"> formal complaints in the year April 201</w:t>
      </w:r>
      <w:r w:rsidR="009244A9">
        <w:rPr>
          <w:rFonts w:ascii="Arial" w:hAnsi="Arial" w:cs="Arial"/>
        </w:rPr>
        <w:t>7</w:t>
      </w:r>
      <w:r w:rsidR="00035FB6" w:rsidRPr="003B1E4C">
        <w:rPr>
          <w:rFonts w:ascii="Arial" w:hAnsi="Arial" w:cs="Arial"/>
        </w:rPr>
        <w:t xml:space="preserve"> to March 201</w:t>
      </w:r>
      <w:r w:rsidR="009244A9">
        <w:rPr>
          <w:rFonts w:ascii="Arial" w:hAnsi="Arial" w:cs="Arial"/>
        </w:rPr>
        <w:t>8</w:t>
      </w:r>
      <w:r w:rsidR="00035FB6" w:rsidRPr="003B1E4C">
        <w:rPr>
          <w:rFonts w:ascii="Arial" w:hAnsi="Arial" w:cs="Arial"/>
        </w:rPr>
        <w:t>.</w:t>
      </w:r>
    </w:p>
    <w:p w:rsidR="003B1E4C" w:rsidRPr="003B1E4C" w:rsidRDefault="003B1E4C" w:rsidP="00035FB6">
      <w:pPr>
        <w:tabs>
          <w:tab w:val="left" w:pos="6600"/>
        </w:tabs>
        <w:jc w:val="both"/>
        <w:rPr>
          <w:rFonts w:ascii="Arial" w:hAnsi="Arial" w:cs="Arial"/>
        </w:rPr>
      </w:pPr>
    </w:p>
    <w:p w:rsidR="00086E72" w:rsidRPr="003B1E4C" w:rsidRDefault="00086E72" w:rsidP="00035FB6">
      <w:pPr>
        <w:tabs>
          <w:tab w:val="left" w:pos="6600"/>
        </w:tabs>
        <w:jc w:val="both"/>
        <w:rPr>
          <w:rFonts w:ascii="Arial" w:hAnsi="Arial" w:cs="Arial"/>
        </w:rPr>
      </w:pPr>
    </w:p>
    <w:p w:rsidR="000738DD" w:rsidRDefault="000738DD" w:rsidP="00086E72">
      <w:pPr>
        <w:tabs>
          <w:tab w:val="left" w:pos="6600"/>
        </w:tabs>
        <w:rPr>
          <w:rFonts w:ascii="Arial" w:hAnsi="Arial" w:cs="Arial"/>
          <w:b/>
        </w:rPr>
      </w:pPr>
    </w:p>
    <w:p w:rsidR="000738DD" w:rsidRDefault="000738DD" w:rsidP="00086E72">
      <w:pPr>
        <w:tabs>
          <w:tab w:val="left" w:pos="6600"/>
        </w:tabs>
        <w:rPr>
          <w:rFonts w:ascii="Arial" w:hAnsi="Arial" w:cs="Arial"/>
          <w:b/>
        </w:rPr>
      </w:pPr>
    </w:p>
    <w:p w:rsidR="000738DD" w:rsidRDefault="000738DD" w:rsidP="00086E72">
      <w:pPr>
        <w:tabs>
          <w:tab w:val="left" w:pos="6600"/>
        </w:tabs>
        <w:rPr>
          <w:rFonts w:ascii="Arial" w:hAnsi="Arial" w:cs="Arial"/>
          <w:b/>
        </w:rPr>
      </w:pPr>
    </w:p>
    <w:p w:rsidR="00086E72" w:rsidRPr="003B1E4C" w:rsidRDefault="00F4230F" w:rsidP="00086E72">
      <w:pPr>
        <w:tabs>
          <w:tab w:val="left" w:pos="6600"/>
        </w:tabs>
        <w:rPr>
          <w:rFonts w:ascii="Arial" w:hAnsi="Arial" w:cs="Arial"/>
          <w:b/>
        </w:rPr>
      </w:pPr>
      <w:r w:rsidRPr="003B1E4C">
        <w:rPr>
          <w:rFonts w:ascii="Arial" w:hAnsi="Arial" w:cs="Arial"/>
          <w:b/>
        </w:rPr>
        <w:lastRenderedPageBreak/>
        <w:t xml:space="preserve">Responding to </w:t>
      </w:r>
      <w:r w:rsidR="00D75623" w:rsidRPr="003B1E4C">
        <w:rPr>
          <w:rFonts w:ascii="Arial" w:hAnsi="Arial" w:cs="Arial"/>
          <w:b/>
        </w:rPr>
        <w:t>Tenants Needs</w:t>
      </w:r>
    </w:p>
    <w:p w:rsidR="00086E72" w:rsidRPr="003B1E4C" w:rsidRDefault="00086E72" w:rsidP="00086E72">
      <w:pPr>
        <w:tabs>
          <w:tab w:val="left" w:pos="6600"/>
        </w:tabs>
        <w:rPr>
          <w:rFonts w:ascii="Arial" w:hAnsi="Arial" w:cs="Arial"/>
          <w:b/>
        </w:rPr>
      </w:pPr>
    </w:p>
    <w:p w:rsidR="00086E72" w:rsidRPr="003B1E4C" w:rsidRDefault="00086E72" w:rsidP="00086E72">
      <w:pPr>
        <w:tabs>
          <w:tab w:val="left" w:pos="6600"/>
        </w:tabs>
        <w:rPr>
          <w:rFonts w:ascii="Arial" w:hAnsi="Arial" w:cs="Arial"/>
        </w:rPr>
      </w:pPr>
      <w:r w:rsidRPr="003B1E4C">
        <w:rPr>
          <w:rFonts w:ascii="Arial" w:hAnsi="Arial" w:cs="Arial"/>
        </w:rPr>
        <w:t>We recognise that tenants will have different needs because of factors such as age, language or ability and we try hard to meet those needs, for example by providing adaptations for people with mobility problems and liaising with support services when tenants need help.</w:t>
      </w:r>
    </w:p>
    <w:p w:rsidR="00086E72" w:rsidRPr="003B1E4C" w:rsidRDefault="00086E72" w:rsidP="00086E72">
      <w:pPr>
        <w:tabs>
          <w:tab w:val="left" w:pos="6600"/>
        </w:tabs>
        <w:rPr>
          <w:rFonts w:ascii="Arial" w:hAnsi="Arial" w:cs="Arial"/>
        </w:rPr>
      </w:pPr>
    </w:p>
    <w:p w:rsidR="00F426BB" w:rsidRPr="003B1E4C" w:rsidRDefault="00F426BB" w:rsidP="00215AB3">
      <w:pPr>
        <w:tabs>
          <w:tab w:val="left" w:pos="6600"/>
        </w:tabs>
        <w:rPr>
          <w:rFonts w:ascii="Arial" w:hAnsi="Arial" w:cs="Arial"/>
        </w:rPr>
      </w:pPr>
      <w:r w:rsidRPr="003B1E4C">
        <w:rPr>
          <w:rFonts w:ascii="Arial" w:hAnsi="Arial" w:cs="Arial"/>
        </w:rPr>
        <w:t xml:space="preserve">In order to ensure that we can respond to tenants needs we continually update the information that we hold about our tenants and their households.  Our staff </w:t>
      </w:r>
      <w:r w:rsidR="00420158">
        <w:rPr>
          <w:rFonts w:ascii="Arial" w:hAnsi="Arial" w:cs="Arial"/>
        </w:rPr>
        <w:t xml:space="preserve">continually update information that we hold on tenants, and complete </w:t>
      </w:r>
      <w:r w:rsidR="004F36AD" w:rsidRPr="003B1E4C">
        <w:rPr>
          <w:rFonts w:ascii="Arial" w:hAnsi="Arial" w:cs="Arial"/>
        </w:rPr>
        <w:t>tenant’s</w:t>
      </w:r>
      <w:r w:rsidRPr="003B1E4C">
        <w:rPr>
          <w:rFonts w:ascii="Arial" w:hAnsi="Arial" w:cs="Arial"/>
        </w:rPr>
        <w:t xml:space="preserve"> audits.  If you have not completed a </w:t>
      </w:r>
      <w:r w:rsidR="009509FB" w:rsidRPr="003B1E4C">
        <w:rPr>
          <w:rFonts w:ascii="Arial" w:hAnsi="Arial" w:cs="Arial"/>
        </w:rPr>
        <w:t>tenant’s</w:t>
      </w:r>
      <w:r w:rsidRPr="003B1E4C">
        <w:rPr>
          <w:rFonts w:ascii="Arial" w:hAnsi="Arial" w:cs="Arial"/>
        </w:rPr>
        <w:t xml:space="preserve"> audit form in the past 12 months, please contact Beverley Williams or Beverley Betteridge on 0151 734 4933 or call in to the office and an appoint</w:t>
      </w:r>
      <w:r w:rsidR="000B5B6B" w:rsidRPr="003B1E4C">
        <w:rPr>
          <w:rFonts w:ascii="Arial" w:hAnsi="Arial" w:cs="Arial"/>
        </w:rPr>
        <w:t>ment</w:t>
      </w:r>
      <w:r w:rsidRPr="003B1E4C">
        <w:rPr>
          <w:rFonts w:ascii="Arial" w:hAnsi="Arial" w:cs="Arial"/>
        </w:rPr>
        <w:t xml:space="preserve"> can be made to ensure that your information is up to</w:t>
      </w:r>
      <w:r w:rsidR="009222A8" w:rsidRPr="003B1E4C">
        <w:rPr>
          <w:rFonts w:ascii="Arial" w:hAnsi="Arial" w:cs="Arial"/>
        </w:rPr>
        <w:t>-</w:t>
      </w:r>
      <w:r w:rsidRPr="003B1E4C">
        <w:rPr>
          <w:rFonts w:ascii="Arial" w:hAnsi="Arial" w:cs="Arial"/>
        </w:rPr>
        <w:t>date.</w:t>
      </w:r>
      <w:r w:rsidR="000B5B6B" w:rsidRPr="003B1E4C">
        <w:rPr>
          <w:rFonts w:ascii="Arial" w:hAnsi="Arial" w:cs="Arial"/>
        </w:rPr>
        <w:t xml:space="preserve">  We will also confirm your telephone and email details whenever you make contact with our office.</w:t>
      </w:r>
    </w:p>
    <w:p w:rsidR="009222A8" w:rsidRDefault="009222A8" w:rsidP="00215AB3">
      <w:pPr>
        <w:tabs>
          <w:tab w:val="left" w:pos="6600"/>
        </w:tabs>
        <w:rPr>
          <w:rFonts w:ascii="Arial" w:hAnsi="Arial" w:cs="Arial"/>
        </w:rPr>
      </w:pPr>
    </w:p>
    <w:p w:rsidR="00420158" w:rsidRDefault="00420158" w:rsidP="00215AB3">
      <w:pPr>
        <w:tabs>
          <w:tab w:val="left" w:pos="6600"/>
        </w:tabs>
        <w:rPr>
          <w:rFonts w:ascii="Arial" w:hAnsi="Arial" w:cs="Arial"/>
        </w:rPr>
      </w:pPr>
    </w:p>
    <w:p w:rsidR="00196A2D" w:rsidRDefault="00196A2D" w:rsidP="00215AB3">
      <w:pPr>
        <w:tabs>
          <w:tab w:val="left" w:pos="6600"/>
        </w:tabs>
        <w:rPr>
          <w:rFonts w:ascii="Arial" w:hAnsi="Arial" w:cs="Arial"/>
        </w:rPr>
      </w:pPr>
    </w:p>
    <w:p w:rsidR="00F426BB" w:rsidRPr="003B1E4C" w:rsidRDefault="00F426BB" w:rsidP="00215AB3">
      <w:pPr>
        <w:tabs>
          <w:tab w:val="left" w:pos="6600"/>
        </w:tabs>
        <w:rPr>
          <w:rFonts w:ascii="Arial" w:hAnsi="Arial" w:cs="Arial"/>
          <w:b/>
        </w:rPr>
      </w:pPr>
      <w:r w:rsidRPr="003B1E4C">
        <w:rPr>
          <w:rFonts w:ascii="Arial" w:hAnsi="Arial" w:cs="Arial"/>
          <w:b/>
        </w:rPr>
        <w:t>Providing Decent Homes</w:t>
      </w:r>
    </w:p>
    <w:p w:rsidR="00F426BB" w:rsidRPr="003B1E4C" w:rsidRDefault="00F426BB" w:rsidP="00215AB3">
      <w:pPr>
        <w:tabs>
          <w:tab w:val="left" w:pos="6600"/>
        </w:tabs>
        <w:rPr>
          <w:rFonts w:ascii="Arial" w:hAnsi="Arial" w:cs="Arial"/>
          <w:b/>
        </w:rPr>
      </w:pPr>
    </w:p>
    <w:p w:rsidR="00F426BB" w:rsidRPr="003B1E4C" w:rsidRDefault="00F426BB" w:rsidP="00215AB3">
      <w:pPr>
        <w:tabs>
          <w:tab w:val="left" w:pos="6600"/>
        </w:tabs>
        <w:rPr>
          <w:rFonts w:ascii="Arial" w:hAnsi="Arial" w:cs="Arial"/>
        </w:rPr>
      </w:pPr>
      <w:r w:rsidRPr="003B1E4C">
        <w:rPr>
          <w:rFonts w:ascii="Arial" w:hAnsi="Arial" w:cs="Arial"/>
        </w:rPr>
        <w:t>This table shows the number and size of properties that we own as at 31 March 201</w:t>
      </w:r>
      <w:r w:rsidR="009244A9">
        <w:rPr>
          <w:rFonts w:ascii="Arial" w:hAnsi="Arial" w:cs="Arial"/>
        </w:rPr>
        <w:t>8</w:t>
      </w:r>
    </w:p>
    <w:p w:rsidR="00F426BB" w:rsidRPr="003B1E4C" w:rsidRDefault="00F426BB" w:rsidP="00215AB3">
      <w:pPr>
        <w:tabs>
          <w:tab w:val="left" w:pos="6600"/>
        </w:tabs>
        <w:rPr>
          <w:rFonts w:ascii="Arial" w:hAnsi="Arial" w:cs="Arial"/>
        </w:rPr>
      </w:pPr>
    </w:p>
    <w:tbl>
      <w:tblPr>
        <w:tblStyle w:val="TableGrid"/>
        <w:tblW w:w="0" w:type="auto"/>
        <w:tblLook w:val="04A0" w:firstRow="1" w:lastRow="0" w:firstColumn="1" w:lastColumn="0" w:noHBand="0" w:noVBand="1"/>
      </w:tblPr>
      <w:tblGrid>
        <w:gridCol w:w="4508"/>
        <w:gridCol w:w="4508"/>
      </w:tblGrid>
      <w:tr w:rsidR="00F426BB" w:rsidRPr="003B1E4C" w:rsidTr="00F426BB">
        <w:tc>
          <w:tcPr>
            <w:tcW w:w="4508" w:type="dxa"/>
          </w:tcPr>
          <w:p w:rsidR="00F426BB" w:rsidRPr="003B1E4C" w:rsidRDefault="00F426BB" w:rsidP="00F426BB">
            <w:pPr>
              <w:tabs>
                <w:tab w:val="left" w:pos="6600"/>
              </w:tabs>
              <w:jc w:val="center"/>
              <w:rPr>
                <w:rFonts w:ascii="Arial" w:hAnsi="Arial" w:cs="Arial"/>
                <w:b/>
              </w:rPr>
            </w:pPr>
            <w:r w:rsidRPr="003B1E4C">
              <w:rPr>
                <w:rFonts w:ascii="Arial" w:hAnsi="Arial" w:cs="Arial"/>
                <w:b/>
              </w:rPr>
              <w:t>NUMBER OF BEDROOMS</w:t>
            </w:r>
          </w:p>
        </w:tc>
        <w:tc>
          <w:tcPr>
            <w:tcW w:w="4508" w:type="dxa"/>
          </w:tcPr>
          <w:p w:rsidR="00F426BB" w:rsidRPr="003B1E4C" w:rsidRDefault="00F426BB" w:rsidP="00F426BB">
            <w:pPr>
              <w:tabs>
                <w:tab w:val="left" w:pos="6600"/>
              </w:tabs>
              <w:jc w:val="center"/>
              <w:rPr>
                <w:rFonts w:ascii="Arial" w:hAnsi="Arial" w:cs="Arial"/>
                <w:b/>
              </w:rPr>
            </w:pPr>
            <w:r w:rsidRPr="003B1E4C">
              <w:rPr>
                <w:rFonts w:ascii="Arial" w:hAnsi="Arial" w:cs="Arial"/>
                <w:b/>
              </w:rPr>
              <w:t>NUMBER OF UNITS</w:t>
            </w:r>
          </w:p>
        </w:tc>
      </w:tr>
      <w:tr w:rsidR="00086E72" w:rsidRPr="003B1E4C" w:rsidTr="00F426BB">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1</w:t>
            </w:r>
          </w:p>
        </w:tc>
        <w:tc>
          <w:tcPr>
            <w:tcW w:w="4508" w:type="dxa"/>
          </w:tcPr>
          <w:p w:rsidR="00086E72" w:rsidRPr="003B1E4C" w:rsidRDefault="00086E72" w:rsidP="0059701B">
            <w:pPr>
              <w:tabs>
                <w:tab w:val="left" w:pos="6600"/>
              </w:tabs>
              <w:jc w:val="both"/>
              <w:rPr>
                <w:rFonts w:ascii="Arial" w:hAnsi="Arial" w:cs="Arial"/>
              </w:rPr>
            </w:pPr>
            <w:r w:rsidRPr="003B1E4C">
              <w:rPr>
                <w:rFonts w:ascii="Arial" w:hAnsi="Arial" w:cs="Arial"/>
              </w:rPr>
              <w:t>11</w:t>
            </w:r>
            <w:r w:rsidR="0059701B">
              <w:rPr>
                <w:rFonts w:ascii="Arial" w:hAnsi="Arial" w:cs="Arial"/>
              </w:rPr>
              <w:t>7</w:t>
            </w:r>
          </w:p>
        </w:tc>
      </w:tr>
      <w:tr w:rsidR="00086E72" w:rsidRPr="003B1E4C" w:rsidTr="00F426BB">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2</w:t>
            </w:r>
          </w:p>
        </w:tc>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57</w:t>
            </w:r>
          </w:p>
        </w:tc>
      </w:tr>
      <w:tr w:rsidR="00086E72" w:rsidRPr="003B1E4C" w:rsidTr="00F426BB">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3</w:t>
            </w:r>
          </w:p>
        </w:tc>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69</w:t>
            </w:r>
          </w:p>
        </w:tc>
      </w:tr>
      <w:tr w:rsidR="00086E72" w:rsidRPr="003B1E4C" w:rsidTr="00F426BB">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4</w:t>
            </w:r>
          </w:p>
        </w:tc>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23</w:t>
            </w:r>
          </w:p>
        </w:tc>
      </w:tr>
      <w:tr w:rsidR="00086E72" w:rsidRPr="003B1E4C" w:rsidTr="00F426BB">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6</w:t>
            </w:r>
          </w:p>
        </w:tc>
        <w:tc>
          <w:tcPr>
            <w:tcW w:w="4508" w:type="dxa"/>
          </w:tcPr>
          <w:p w:rsidR="00086E72" w:rsidRPr="003B1E4C" w:rsidRDefault="00086E72" w:rsidP="00086E72">
            <w:pPr>
              <w:tabs>
                <w:tab w:val="left" w:pos="6600"/>
              </w:tabs>
              <w:jc w:val="both"/>
              <w:rPr>
                <w:rFonts w:ascii="Arial" w:hAnsi="Arial" w:cs="Arial"/>
              </w:rPr>
            </w:pPr>
            <w:r w:rsidRPr="003B1E4C">
              <w:rPr>
                <w:rFonts w:ascii="Arial" w:hAnsi="Arial" w:cs="Arial"/>
              </w:rPr>
              <w:t>10</w:t>
            </w:r>
          </w:p>
        </w:tc>
      </w:tr>
      <w:tr w:rsidR="00086E72" w:rsidRPr="003B1E4C" w:rsidTr="00F426BB">
        <w:tc>
          <w:tcPr>
            <w:tcW w:w="4508" w:type="dxa"/>
          </w:tcPr>
          <w:p w:rsidR="00086E72" w:rsidRPr="003B1E4C" w:rsidRDefault="00086E72" w:rsidP="00086E72">
            <w:pPr>
              <w:tabs>
                <w:tab w:val="left" w:pos="6600"/>
              </w:tabs>
              <w:jc w:val="both"/>
              <w:rPr>
                <w:rFonts w:ascii="Arial" w:hAnsi="Arial" w:cs="Arial"/>
                <w:b/>
              </w:rPr>
            </w:pPr>
            <w:r w:rsidRPr="003B1E4C">
              <w:rPr>
                <w:rFonts w:ascii="Arial" w:hAnsi="Arial" w:cs="Arial"/>
                <w:b/>
              </w:rPr>
              <w:t>TOTAL</w:t>
            </w:r>
          </w:p>
        </w:tc>
        <w:tc>
          <w:tcPr>
            <w:tcW w:w="4508" w:type="dxa"/>
          </w:tcPr>
          <w:p w:rsidR="00086E72" w:rsidRPr="003B1E4C" w:rsidRDefault="00420158" w:rsidP="0059701B">
            <w:pPr>
              <w:tabs>
                <w:tab w:val="left" w:pos="6600"/>
              </w:tabs>
              <w:jc w:val="both"/>
              <w:rPr>
                <w:rFonts w:ascii="Arial" w:hAnsi="Arial" w:cs="Arial"/>
                <w:b/>
              </w:rPr>
            </w:pPr>
            <w:r>
              <w:rPr>
                <w:rFonts w:ascii="Arial" w:hAnsi="Arial" w:cs="Arial"/>
                <w:b/>
              </w:rPr>
              <w:t>27</w:t>
            </w:r>
            <w:r w:rsidR="0059701B">
              <w:rPr>
                <w:rFonts w:ascii="Arial" w:hAnsi="Arial" w:cs="Arial"/>
                <w:b/>
              </w:rPr>
              <w:t>6</w:t>
            </w:r>
            <w:r w:rsidR="00DF021F">
              <w:rPr>
                <w:rFonts w:ascii="Arial" w:hAnsi="Arial" w:cs="Arial"/>
                <w:b/>
              </w:rPr>
              <w:t>*</w:t>
            </w:r>
          </w:p>
        </w:tc>
      </w:tr>
    </w:tbl>
    <w:p w:rsidR="00DF021F" w:rsidRDefault="00DF021F" w:rsidP="00DF021F">
      <w:pPr>
        <w:pStyle w:val="ListParagraph"/>
        <w:tabs>
          <w:tab w:val="left" w:pos="6600"/>
        </w:tabs>
        <w:ind w:left="0"/>
        <w:rPr>
          <w:rFonts w:ascii="Arial" w:hAnsi="Arial" w:cs="Arial"/>
        </w:rPr>
      </w:pPr>
    </w:p>
    <w:p w:rsidR="00DF021F" w:rsidRPr="00DF021F" w:rsidRDefault="00DF021F" w:rsidP="00DF021F">
      <w:pPr>
        <w:pStyle w:val="ListParagraph"/>
        <w:tabs>
          <w:tab w:val="left" w:pos="6600"/>
        </w:tabs>
        <w:ind w:left="0"/>
        <w:rPr>
          <w:rFonts w:ascii="Arial" w:hAnsi="Arial" w:cs="Arial"/>
        </w:rPr>
      </w:pPr>
      <w:r>
        <w:rPr>
          <w:rFonts w:ascii="Arial" w:hAnsi="Arial" w:cs="Arial"/>
        </w:rPr>
        <w:t>* Includes 9 properties awaiting development.</w:t>
      </w:r>
    </w:p>
    <w:p w:rsidR="00DF021F" w:rsidRDefault="00DF021F" w:rsidP="00215AB3">
      <w:pPr>
        <w:tabs>
          <w:tab w:val="left" w:pos="6600"/>
        </w:tabs>
        <w:rPr>
          <w:rFonts w:ascii="Arial" w:hAnsi="Arial" w:cs="Arial"/>
        </w:rPr>
      </w:pPr>
    </w:p>
    <w:p w:rsidR="009F7CD3" w:rsidRPr="003B1E4C" w:rsidRDefault="009F7CD3" w:rsidP="00215AB3">
      <w:pPr>
        <w:tabs>
          <w:tab w:val="left" w:pos="6600"/>
        </w:tabs>
        <w:rPr>
          <w:rFonts w:ascii="Arial" w:hAnsi="Arial" w:cs="Arial"/>
        </w:rPr>
      </w:pPr>
      <w:r w:rsidRPr="003B1E4C">
        <w:rPr>
          <w:rFonts w:ascii="Arial" w:hAnsi="Arial" w:cs="Arial"/>
        </w:rPr>
        <w:t>The Association also has 2 Leaseholders and 2 Shared ownership properties.</w:t>
      </w:r>
    </w:p>
    <w:p w:rsidR="009F7CD3" w:rsidRPr="003B1E4C" w:rsidRDefault="009F7CD3" w:rsidP="00215AB3">
      <w:pPr>
        <w:tabs>
          <w:tab w:val="left" w:pos="6600"/>
        </w:tabs>
        <w:rPr>
          <w:rFonts w:ascii="Arial" w:hAnsi="Arial" w:cs="Arial"/>
        </w:rPr>
      </w:pPr>
    </w:p>
    <w:p w:rsidR="009F7CD3" w:rsidRPr="003B1E4C" w:rsidRDefault="009F7CD3" w:rsidP="00215AB3">
      <w:pPr>
        <w:tabs>
          <w:tab w:val="left" w:pos="6600"/>
        </w:tabs>
        <w:rPr>
          <w:rFonts w:ascii="Arial" w:hAnsi="Arial" w:cs="Arial"/>
        </w:rPr>
      </w:pPr>
    </w:p>
    <w:p w:rsidR="009F7CD3" w:rsidRPr="003B1E4C" w:rsidRDefault="009F7CD3" w:rsidP="00215AB3">
      <w:pPr>
        <w:tabs>
          <w:tab w:val="left" w:pos="6600"/>
        </w:tabs>
        <w:rPr>
          <w:rFonts w:ascii="Arial" w:hAnsi="Arial" w:cs="Arial"/>
        </w:rPr>
      </w:pPr>
      <w:r w:rsidRPr="003B1E4C">
        <w:rPr>
          <w:rFonts w:ascii="Arial" w:hAnsi="Arial" w:cs="Arial"/>
        </w:rPr>
        <w:t>We have a planned maintenance programme and currently spend £1</w:t>
      </w:r>
      <w:r w:rsidR="00086E72" w:rsidRPr="003B1E4C">
        <w:rPr>
          <w:rFonts w:ascii="Arial" w:hAnsi="Arial" w:cs="Arial"/>
        </w:rPr>
        <w:t>5</w:t>
      </w:r>
      <w:r w:rsidRPr="003B1E4C">
        <w:rPr>
          <w:rFonts w:ascii="Arial" w:hAnsi="Arial" w:cs="Arial"/>
        </w:rPr>
        <w:t xml:space="preserve">0k </w:t>
      </w:r>
      <w:r w:rsidR="00086E72" w:rsidRPr="003B1E4C">
        <w:rPr>
          <w:rFonts w:ascii="Arial" w:hAnsi="Arial" w:cs="Arial"/>
        </w:rPr>
        <w:t xml:space="preserve">on its planned maintenance programme.  </w:t>
      </w:r>
      <w:r w:rsidR="00DF021F">
        <w:rPr>
          <w:rFonts w:ascii="Arial" w:hAnsi="Arial" w:cs="Arial"/>
        </w:rPr>
        <w:t xml:space="preserve">  We will continue to r</w:t>
      </w:r>
      <w:r w:rsidRPr="003B1E4C">
        <w:rPr>
          <w:rFonts w:ascii="Arial" w:hAnsi="Arial" w:cs="Arial"/>
        </w:rPr>
        <w:t>eplace</w:t>
      </w:r>
      <w:r w:rsidR="00DF021F">
        <w:rPr>
          <w:rFonts w:ascii="Arial" w:hAnsi="Arial" w:cs="Arial"/>
        </w:rPr>
        <w:t xml:space="preserve"> windows for the </w:t>
      </w:r>
      <w:r w:rsidRPr="003B1E4C">
        <w:rPr>
          <w:rFonts w:ascii="Arial" w:hAnsi="Arial" w:cs="Arial"/>
        </w:rPr>
        <w:t>remaining properties</w:t>
      </w:r>
      <w:r w:rsidR="00DF021F">
        <w:rPr>
          <w:rFonts w:ascii="Arial" w:hAnsi="Arial" w:cs="Arial"/>
        </w:rPr>
        <w:t xml:space="preserve"> over the next 5 years</w:t>
      </w:r>
      <w:r w:rsidRPr="003B1E4C">
        <w:rPr>
          <w:rFonts w:ascii="Arial" w:hAnsi="Arial" w:cs="Arial"/>
        </w:rPr>
        <w:t>.</w:t>
      </w:r>
    </w:p>
    <w:p w:rsidR="009F7CD3" w:rsidRPr="003B1E4C" w:rsidRDefault="009F7CD3" w:rsidP="00215AB3">
      <w:pPr>
        <w:tabs>
          <w:tab w:val="left" w:pos="6600"/>
        </w:tabs>
        <w:rPr>
          <w:rFonts w:ascii="Arial" w:hAnsi="Arial" w:cs="Arial"/>
        </w:rPr>
      </w:pPr>
    </w:p>
    <w:p w:rsidR="009F7CD3" w:rsidRPr="003B1E4C" w:rsidRDefault="00DF021F" w:rsidP="00215AB3">
      <w:pPr>
        <w:tabs>
          <w:tab w:val="left" w:pos="6600"/>
        </w:tabs>
        <w:rPr>
          <w:rFonts w:ascii="Arial" w:hAnsi="Arial" w:cs="Arial"/>
        </w:rPr>
      </w:pPr>
      <w:r>
        <w:rPr>
          <w:rFonts w:ascii="Arial" w:hAnsi="Arial" w:cs="Arial"/>
        </w:rPr>
        <w:t xml:space="preserve">We will work with our new managing agent South Liverpool Homes to review our </w:t>
      </w:r>
      <w:r w:rsidR="00086E72" w:rsidRPr="003B1E4C">
        <w:rPr>
          <w:rFonts w:ascii="Arial" w:hAnsi="Arial" w:cs="Arial"/>
        </w:rPr>
        <w:t>A</w:t>
      </w:r>
      <w:r>
        <w:rPr>
          <w:rFonts w:ascii="Arial" w:hAnsi="Arial" w:cs="Arial"/>
        </w:rPr>
        <w:t>sset Management Plan t</w:t>
      </w:r>
      <w:r w:rsidR="00086E72" w:rsidRPr="003B1E4C">
        <w:rPr>
          <w:rFonts w:ascii="Arial" w:hAnsi="Arial" w:cs="Arial"/>
        </w:rPr>
        <w:t xml:space="preserve">o </w:t>
      </w:r>
      <w:r w:rsidR="00DF3CB0" w:rsidRPr="003B1E4C">
        <w:rPr>
          <w:rFonts w:ascii="Arial" w:hAnsi="Arial" w:cs="Arial"/>
        </w:rPr>
        <w:t>ensure that we direct the appropriate resources w</w:t>
      </w:r>
      <w:r w:rsidR="009244A9">
        <w:rPr>
          <w:rFonts w:ascii="Arial" w:hAnsi="Arial" w:cs="Arial"/>
        </w:rPr>
        <w:t>here they are required.  We have</w:t>
      </w:r>
      <w:r w:rsidR="00DF3CB0" w:rsidRPr="003B1E4C">
        <w:rPr>
          <w:rFonts w:ascii="Arial" w:hAnsi="Arial" w:cs="Arial"/>
        </w:rPr>
        <w:t xml:space="preserve"> publish</w:t>
      </w:r>
      <w:r w:rsidR="009244A9">
        <w:rPr>
          <w:rFonts w:ascii="Arial" w:hAnsi="Arial" w:cs="Arial"/>
        </w:rPr>
        <w:t>ed</w:t>
      </w:r>
      <w:r w:rsidR="00DF3CB0" w:rsidRPr="003B1E4C">
        <w:rPr>
          <w:rFonts w:ascii="Arial" w:hAnsi="Arial" w:cs="Arial"/>
        </w:rPr>
        <w:t xml:space="preserve"> a </w:t>
      </w:r>
      <w:r w:rsidR="00086E72" w:rsidRPr="003B1E4C">
        <w:rPr>
          <w:rFonts w:ascii="Arial" w:hAnsi="Arial" w:cs="Arial"/>
        </w:rPr>
        <w:t xml:space="preserve">new asset management strategy and </w:t>
      </w:r>
      <w:r w:rsidR="009244A9">
        <w:rPr>
          <w:rFonts w:ascii="Arial" w:hAnsi="Arial" w:cs="Arial"/>
        </w:rPr>
        <w:t>continue to implement our p</w:t>
      </w:r>
      <w:r w:rsidR="00DF3CB0" w:rsidRPr="003B1E4C">
        <w:rPr>
          <w:rFonts w:ascii="Arial" w:hAnsi="Arial" w:cs="Arial"/>
        </w:rPr>
        <w:t>lanned maintenance programme</w:t>
      </w:r>
      <w:r w:rsidR="009244A9">
        <w:rPr>
          <w:rFonts w:ascii="Arial" w:hAnsi="Arial" w:cs="Arial"/>
        </w:rPr>
        <w:t>.</w:t>
      </w:r>
    </w:p>
    <w:p w:rsidR="009F7CD3" w:rsidRPr="003B1E4C" w:rsidRDefault="009F7CD3" w:rsidP="00215AB3">
      <w:pPr>
        <w:tabs>
          <w:tab w:val="left" w:pos="6600"/>
        </w:tabs>
        <w:rPr>
          <w:rFonts w:ascii="Arial" w:hAnsi="Arial" w:cs="Arial"/>
        </w:rPr>
      </w:pPr>
    </w:p>
    <w:p w:rsidR="009F7CD3" w:rsidRPr="0065106F" w:rsidRDefault="009F7CD3" w:rsidP="00215AB3">
      <w:pPr>
        <w:tabs>
          <w:tab w:val="left" w:pos="6600"/>
        </w:tabs>
        <w:rPr>
          <w:rFonts w:ascii="Arial" w:hAnsi="Arial" w:cs="Arial"/>
          <w:sz w:val="20"/>
        </w:rPr>
      </w:pPr>
    </w:p>
    <w:p w:rsidR="009F7CD3" w:rsidRDefault="009F7CD3" w:rsidP="00215AB3">
      <w:pPr>
        <w:tabs>
          <w:tab w:val="left" w:pos="6600"/>
        </w:tabs>
        <w:rPr>
          <w:rFonts w:ascii="Arial" w:hAnsi="Arial" w:cs="Arial"/>
          <w:sz w:val="16"/>
        </w:rPr>
      </w:pPr>
    </w:p>
    <w:p w:rsidR="000738DD" w:rsidRDefault="000738DD" w:rsidP="00215AB3">
      <w:pPr>
        <w:tabs>
          <w:tab w:val="left" w:pos="6600"/>
        </w:tabs>
        <w:rPr>
          <w:rFonts w:ascii="Arial" w:hAnsi="Arial" w:cs="Arial"/>
          <w:sz w:val="16"/>
        </w:rPr>
      </w:pPr>
    </w:p>
    <w:p w:rsidR="000738DD" w:rsidRDefault="000738DD" w:rsidP="00215AB3">
      <w:pPr>
        <w:tabs>
          <w:tab w:val="left" w:pos="6600"/>
        </w:tabs>
        <w:rPr>
          <w:rFonts w:ascii="Arial" w:hAnsi="Arial" w:cs="Arial"/>
          <w:sz w:val="16"/>
        </w:rPr>
      </w:pPr>
    </w:p>
    <w:p w:rsidR="000738DD" w:rsidRDefault="000738DD" w:rsidP="00215AB3">
      <w:pPr>
        <w:tabs>
          <w:tab w:val="left" w:pos="6600"/>
        </w:tabs>
        <w:rPr>
          <w:rFonts w:ascii="Arial" w:hAnsi="Arial" w:cs="Arial"/>
          <w:sz w:val="16"/>
        </w:rPr>
      </w:pPr>
    </w:p>
    <w:p w:rsidR="000738DD" w:rsidRDefault="000738DD" w:rsidP="00215AB3">
      <w:pPr>
        <w:tabs>
          <w:tab w:val="left" w:pos="6600"/>
        </w:tabs>
        <w:rPr>
          <w:rFonts w:ascii="Arial" w:hAnsi="Arial" w:cs="Arial"/>
          <w:sz w:val="16"/>
        </w:rPr>
      </w:pPr>
    </w:p>
    <w:p w:rsidR="000738DD" w:rsidRPr="00196A2D" w:rsidRDefault="000738DD" w:rsidP="00215AB3">
      <w:pPr>
        <w:tabs>
          <w:tab w:val="left" w:pos="6600"/>
        </w:tabs>
        <w:rPr>
          <w:rFonts w:ascii="Arial" w:hAnsi="Arial" w:cs="Arial"/>
          <w:sz w:val="16"/>
        </w:rPr>
      </w:pPr>
    </w:p>
    <w:p w:rsidR="009F7CD3" w:rsidRPr="003B1E4C" w:rsidRDefault="00AD09FC" w:rsidP="009F7CD3">
      <w:pPr>
        <w:tabs>
          <w:tab w:val="left" w:pos="6600"/>
        </w:tabs>
        <w:rPr>
          <w:rFonts w:ascii="Arial" w:hAnsi="Arial" w:cs="Arial"/>
          <w:b/>
        </w:rPr>
      </w:pPr>
      <w:r w:rsidRPr="003B1E4C">
        <w:rPr>
          <w:rFonts w:ascii="Arial" w:hAnsi="Arial" w:cs="Arial"/>
          <w:b/>
        </w:rPr>
        <w:lastRenderedPageBreak/>
        <w:t xml:space="preserve">                   </w:t>
      </w:r>
      <w:r w:rsidR="009F7CD3" w:rsidRPr="003B1E4C">
        <w:rPr>
          <w:rFonts w:ascii="Arial" w:hAnsi="Arial" w:cs="Arial"/>
          <w:b/>
        </w:rPr>
        <w:t>Our Repairs Service</w:t>
      </w:r>
      <w:r w:rsidRPr="003B1E4C">
        <w:rPr>
          <w:rFonts w:ascii="Arial" w:hAnsi="Arial" w:cs="Arial"/>
          <w:b/>
        </w:rPr>
        <w:t xml:space="preserve">                                                 </w:t>
      </w:r>
    </w:p>
    <w:p w:rsidR="009F7CD3" w:rsidRPr="003B1E4C" w:rsidRDefault="0065106F" w:rsidP="00AD09FC">
      <w:pPr>
        <w:tabs>
          <w:tab w:val="left" w:pos="6600"/>
        </w:tabs>
        <w:jc w:val="center"/>
        <w:rPr>
          <w:rFonts w:ascii="Arial" w:hAnsi="Arial" w:cs="Arial"/>
          <w:b/>
        </w:rPr>
      </w:pPr>
      <w:r w:rsidRPr="003B1E4C">
        <w:rPr>
          <w:rFonts w:ascii="Arial" w:hAnsi="Arial" w:cs="Arial"/>
          <w:noProof/>
          <w:lang w:eastAsia="en-GB"/>
        </w:rPr>
        <w:drawing>
          <wp:anchor distT="0" distB="0" distL="0" distR="0" simplePos="0" relativeHeight="251661312" behindDoc="0" locked="0" layoutInCell="1" allowOverlap="0" wp14:anchorId="1228464F" wp14:editId="2E1E12C7">
            <wp:simplePos x="0" y="0"/>
            <wp:positionH relativeFrom="margin">
              <wp:posOffset>-254000</wp:posOffset>
            </wp:positionH>
            <wp:positionV relativeFrom="line">
              <wp:posOffset>217170</wp:posOffset>
            </wp:positionV>
            <wp:extent cx="1055370" cy="1482090"/>
            <wp:effectExtent l="0" t="0" r="0" b="3810"/>
            <wp:wrapSquare wrapText="bothSides"/>
            <wp:docPr id="7" name="Picture 7" descr="http://www2.estrellamountain.edu/faculty/stonebrink/Johnson/Clips/M1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estrellamountain.edu/faculty/stonebrink/Johnson/Clips/M1736.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537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CD3" w:rsidRPr="003B1E4C" w:rsidRDefault="009F7CD3" w:rsidP="009F7CD3">
      <w:pPr>
        <w:tabs>
          <w:tab w:val="left" w:pos="6600"/>
        </w:tabs>
        <w:rPr>
          <w:rFonts w:ascii="Arial" w:hAnsi="Arial" w:cs="Arial"/>
        </w:rPr>
      </w:pPr>
      <w:r w:rsidRPr="003B1E4C">
        <w:rPr>
          <w:rFonts w:ascii="Arial" w:hAnsi="Arial" w:cs="Arial"/>
        </w:rPr>
        <w:t>We try to adopt a prudent and planned approach to our repair service.  Each year, the Board agrees a maintenance budget which sets aside funds for day to day repairs, cyclical decoration and planned programme</w:t>
      </w:r>
      <w:r w:rsidR="000B5B6B" w:rsidRPr="003B1E4C">
        <w:rPr>
          <w:rFonts w:ascii="Arial" w:hAnsi="Arial" w:cs="Arial"/>
        </w:rPr>
        <w:t>s</w:t>
      </w:r>
      <w:r w:rsidRPr="003B1E4C">
        <w:rPr>
          <w:rFonts w:ascii="Arial" w:hAnsi="Arial" w:cs="Arial"/>
        </w:rPr>
        <w:t xml:space="preserve"> of work.  The Board and senior management team receive regular reports </w:t>
      </w:r>
      <w:r w:rsidR="00DF021F">
        <w:rPr>
          <w:rFonts w:ascii="Arial" w:hAnsi="Arial" w:cs="Arial"/>
        </w:rPr>
        <w:t>t</w:t>
      </w:r>
      <w:r w:rsidRPr="003B1E4C">
        <w:rPr>
          <w:rFonts w:ascii="Arial" w:hAnsi="Arial" w:cs="Arial"/>
        </w:rPr>
        <w:t>o show progress against the budget.</w:t>
      </w:r>
    </w:p>
    <w:p w:rsidR="009F7CD3" w:rsidRPr="003B1E4C" w:rsidRDefault="009F7CD3" w:rsidP="009F7CD3">
      <w:pPr>
        <w:tabs>
          <w:tab w:val="left" w:pos="6600"/>
        </w:tabs>
        <w:rPr>
          <w:rFonts w:ascii="Arial" w:hAnsi="Arial" w:cs="Arial"/>
        </w:rPr>
      </w:pPr>
    </w:p>
    <w:p w:rsidR="005C2A96" w:rsidRPr="003B1E4C" w:rsidRDefault="009F7CD3" w:rsidP="009F7CD3">
      <w:pPr>
        <w:tabs>
          <w:tab w:val="left" w:pos="6600"/>
        </w:tabs>
        <w:rPr>
          <w:rFonts w:ascii="Arial" w:hAnsi="Arial" w:cs="Arial"/>
        </w:rPr>
      </w:pPr>
      <w:r w:rsidRPr="003B1E4C">
        <w:rPr>
          <w:rFonts w:ascii="Arial" w:hAnsi="Arial" w:cs="Arial"/>
        </w:rPr>
        <w:t xml:space="preserve">Repairs are completed by our </w:t>
      </w:r>
      <w:r w:rsidR="00DF021F">
        <w:rPr>
          <w:rFonts w:ascii="Arial" w:hAnsi="Arial" w:cs="Arial"/>
        </w:rPr>
        <w:t xml:space="preserve">HMS contractors.  </w:t>
      </w:r>
      <w:r w:rsidR="005C2A96" w:rsidRPr="003B1E4C">
        <w:rPr>
          <w:rFonts w:ascii="Arial" w:hAnsi="Arial" w:cs="Arial"/>
        </w:rPr>
        <w:t>Routine repairs are placed into one o</w:t>
      </w:r>
      <w:r w:rsidR="00802071">
        <w:rPr>
          <w:rFonts w:ascii="Arial" w:hAnsi="Arial" w:cs="Arial"/>
        </w:rPr>
        <w:t>f two</w:t>
      </w:r>
      <w:r w:rsidR="005C2A96" w:rsidRPr="003B1E4C">
        <w:rPr>
          <w:rFonts w:ascii="Arial" w:hAnsi="Arial" w:cs="Arial"/>
        </w:rPr>
        <w:t xml:space="preserve"> </w:t>
      </w:r>
      <w:r w:rsidR="00802071">
        <w:rPr>
          <w:rFonts w:ascii="Arial" w:hAnsi="Arial" w:cs="Arial"/>
        </w:rPr>
        <w:t>categories: emergency and</w:t>
      </w:r>
      <w:r w:rsidR="005C2A96" w:rsidRPr="003B1E4C">
        <w:rPr>
          <w:rFonts w:ascii="Arial" w:hAnsi="Arial" w:cs="Arial"/>
        </w:rPr>
        <w:t xml:space="preserve"> routine.  Each of these categories has a target response time</w:t>
      </w:r>
      <w:r w:rsidR="004453E4" w:rsidRPr="003B1E4C">
        <w:rPr>
          <w:rFonts w:ascii="Arial" w:hAnsi="Arial" w:cs="Arial"/>
        </w:rPr>
        <w:t>.  As a result of listening to wha</w:t>
      </w:r>
      <w:r w:rsidR="000B5B6B" w:rsidRPr="003B1E4C">
        <w:rPr>
          <w:rFonts w:ascii="Arial" w:hAnsi="Arial" w:cs="Arial"/>
        </w:rPr>
        <w:t xml:space="preserve">t our tenants say to us we </w:t>
      </w:r>
      <w:r w:rsidR="004453E4" w:rsidRPr="003B1E4C">
        <w:rPr>
          <w:rFonts w:ascii="Arial" w:hAnsi="Arial" w:cs="Arial"/>
        </w:rPr>
        <w:t>reduced our routine repairs response time from 28 days to 21 days from April 2015.  T</w:t>
      </w:r>
      <w:r w:rsidR="005C2A96" w:rsidRPr="003B1E4C">
        <w:rPr>
          <w:rFonts w:ascii="Arial" w:hAnsi="Arial" w:cs="Arial"/>
        </w:rPr>
        <w:t>he table below shows pe</w:t>
      </w:r>
      <w:r w:rsidR="004453E4" w:rsidRPr="003B1E4C">
        <w:rPr>
          <w:rFonts w:ascii="Arial" w:hAnsi="Arial" w:cs="Arial"/>
        </w:rPr>
        <w:t>rformance in completing repairs for the year 201</w:t>
      </w:r>
      <w:r w:rsidR="0059701B">
        <w:rPr>
          <w:rFonts w:ascii="Arial" w:hAnsi="Arial" w:cs="Arial"/>
        </w:rPr>
        <w:t>7</w:t>
      </w:r>
      <w:r w:rsidR="004453E4" w:rsidRPr="003B1E4C">
        <w:rPr>
          <w:rFonts w:ascii="Arial" w:hAnsi="Arial" w:cs="Arial"/>
        </w:rPr>
        <w:t>-1</w:t>
      </w:r>
      <w:r w:rsidR="0059701B">
        <w:rPr>
          <w:rFonts w:ascii="Arial" w:hAnsi="Arial" w:cs="Arial"/>
        </w:rPr>
        <w:t>8</w:t>
      </w:r>
      <w:r w:rsidR="004453E4" w:rsidRPr="003B1E4C">
        <w:rPr>
          <w:rFonts w:ascii="Arial" w:hAnsi="Arial" w:cs="Arial"/>
        </w:rPr>
        <w:t>.</w:t>
      </w:r>
    </w:p>
    <w:p w:rsidR="004453E4" w:rsidRPr="003B1E4C" w:rsidRDefault="004453E4" w:rsidP="009F7CD3">
      <w:pPr>
        <w:tabs>
          <w:tab w:val="left" w:pos="6600"/>
        </w:tabs>
        <w:rPr>
          <w:rFonts w:ascii="Arial" w:hAnsi="Arial" w:cs="Arial"/>
        </w:rPr>
      </w:pPr>
    </w:p>
    <w:tbl>
      <w:tblPr>
        <w:tblStyle w:val="TableGrid"/>
        <w:tblW w:w="0" w:type="auto"/>
        <w:tblInd w:w="1125" w:type="dxa"/>
        <w:tblLook w:val="04A0" w:firstRow="1" w:lastRow="0" w:firstColumn="1" w:lastColumn="0" w:noHBand="0" w:noVBand="1"/>
      </w:tblPr>
      <w:tblGrid>
        <w:gridCol w:w="2051"/>
        <w:gridCol w:w="2036"/>
        <w:gridCol w:w="1755"/>
        <w:gridCol w:w="2049"/>
      </w:tblGrid>
      <w:tr w:rsidR="0059701B" w:rsidRPr="003B1E4C" w:rsidTr="0059701B">
        <w:tc>
          <w:tcPr>
            <w:tcW w:w="2051" w:type="dxa"/>
          </w:tcPr>
          <w:p w:rsidR="0059701B" w:rsidRPr="003B1E4C" w:rsidRDefault="0059701B" w:rsidP="004453E4">
            <w:pPr>
              <w:tabs>
                <w:tab w:val="left" w:pos="6600"/>
              </w:tabs>
              <w:jc w:val="center"/>
              <w:rPr>
                <w:rFonts w:ascii="Arial" w:hAnsi="Arial" w:cs="Arial"/>
                <w:b/>
              </w:rPr>
            </w:pPr>
            <w:r w:rsidRPr="003B1E4C">
              <w:rPr>
                <w:rFonts w:ascii="Arial" w:hAnsi="Arial" w:cs="Arial"/>
                <w:b/>
              </w:rPr>
              <w:t>Category</w:t>
            </w:r>
          </w:p>
        </w:tc>
        <w:tc>
          <w:tcPr>
            <w:tcW w:w="2036" w:type="dxa"/>
          </w:tcPr>
          <w:p w:rsidR="0059701B" w:rsidRPr="003B1E4C" w:rsidRDefault="0059701B" w:rsidP="004453E4">
            <w:pPr>
              <w:tabs>
                <w:tab w:val="left" w:pos="6600"/>
              </w:tabs>
              <w:jc w:val="center"/>
              <w:rPr>
                <w:rFonts w:ascii="Arial" w:hAnsi="Arial" w:cs="Arial"/>
                <w:b/>
              </w:rPr>
            </w:pPr>
            <w:r w:rsidRPr="003B1E4C">
              <w:rPr>
                <w:rFonts w:ascii="Arial" w:hAnsi="Arial" w:cs="Arial"/>
                <w:b/>
              </w:rPr>
              <w:t>Response Time</w:t>
            </w:r>
          </w:p>
        </w:tc>
        <w:tc>
          <w:tcPr>
            <w:tcW w:w="1755" w:type="dxa"/>
          </w:tcPr>
          <w:p w:rsidR="0059701B" w:rsidRPr="003B1E4C" w:rsidRDefault="0059701B" w:rsidP="004453E4">
            <w:pPr>
              <w:tabs>
                <w:tab w:val="left" w:pos="6600"/>
              </w:tabs>
              <w:jc w:val="center"/>
              <w:rPr>
                <w:rFonts w:ascii="Arial" w:hAnsi="Arial" w:cs="Arial"/>
                <w:b/>
              </w:rPr>
            </w:pPr>
            <w:r>
              <w:rPr>
                <w:rFonts w:ascii="Arial" w:hAnsi="Arial" w:cs="Arial"/>
                <w:b/>
              </w:rPr>
              <w:t>Number of repairs</w:t>
            </w:r>
          </w:p>
        </w:tc>
        <w:tc>
          <w:tcPr>
            <w:tcW w:w="2049" w:type="dxa"/>
          </w:tcPr>
          <w:p w:rsidR="0059701B" w:rsidRPr="003B1E4C" w:rsidRDefault="0059701B" w:rsidP="004453E4">
            <w:pPr>
              <w:tabs>
                <w:tab w:val="left" w:pos="6600"/>
              </w:tabs>
              <w:jc w:val="center"/>
              <w:rPr>
                <w:rFonts w:ascii="Arial" w:hAnsi="Arial" w:cs="Arial"/>
                <w:b/>
              </w:rPr>
            </w:pPr>
            <w:r w:rsidRPr="003B1E4C">
              <w:rPr>
                <w:rFonts w:ascii="Arial" w:hAnsi="Arial" w:cs="Arial"/>
                <w:b/>
              </w:rPr>
              <w:t>% completed on time</w:t>
            </w:r>
          </w:p>
        </w:tc>
      </w:tr>
      <w:tr w:rsidR="0059701B" w:rsidRPr="003B1E4C" w:rsidTr="0059701B">
        <w:tc>
          <w:tcPr>
            <w:tcW w:w="2051" w:type="dxa"/>
          </w:tcPr>
          <w:p w:rsidR="0059701B" w:rsidRPr="003B1E4C" w:rsidRDefault="0059701B" w:rsidP="00086E72">
            <w:pPr>
              <w:tabs>
                <w:tab w:val="left" w:pos="6600"/>
              </w:tabs>
              <w:jc w:val="center"/>
              <w:rPr>
                <w:rFonts w:ascii="Arial" w:hAnsi="Arial" w:cs="Arial"/>
              </w:rPr>
            </w:pPr>
            <w:r w:rsidRPr="003B1E4C">
              <w:rPr>
                <w:rFonts w:ascii="Arial" w:hAnsi="Arial" w:cs="Arial"/>
              </w:rPr>
              <w:t>Emergency</w:t>
            </w:r>
          </w:p>
        </w:tc>
        <w:tc>
          <w:tcPr>
            <w:tcW w:w="2036" w:type="dxa"/>
          </w:tcPr>
          <w:p w:rsidR="0059701B" w:rsidRPr="003B1E4C" w:rsidRDefault="0059701B" w:rsidP="00086E72">
            <w:pPr>
              <w:tabs>
                <w:tab w:val="left" w:pos="6600"/>
              </w:tabs>
              <w:jc w:val="center"/>
              <w:rPr>
                <w:rFonts w:ascii="Arial" w:hAnsi="Arial" w:cs="Arial"/>
              </w:rPr>
            </w:pPr>
            <w:r w:rsidRPr="003B1E4C">
              <w:rPr>
                <w:rFonts w:ascii="Arial" w:hAnsi="Arial" w:cs="Arial"/>
              </w:rPr>
              <w:t>24 hours</w:t>
            </w:r>
          </w:p>
        </w:tc>
        <w:tc>
          <w:tcPr>
            <w:tcW w:w="1755" w:type="dxa"/>
          </w:tcPr>
          <w:p w:rsidR="0059701B" w:rsidRDefault="0059701B" w:rsidP="0059701B">
            <w:pPr>
              <w:tabs>
                <w:tab w:val="left" w:pos="6600"/>
              </w:tabs>
              <w:jc w:val="center"/>
              <w:rPr>
                <w:rFonts w:ascii="Arial" w:hAnsi="Arial" w:cs="Arial"/>
              </w:rPr>
            </w:pPr>
            <w:r>
              <w:rPr>
                <w:rFonts w:ascii="Arial" w:hAnsi="Arial" w:cs="Arial"/>
              </w:rPr>
              <w:t>456</w:t>
            </w:r>
          </w:p>
        </w:tc>
        <w:tc>
          <w:tcPr>
            <w:tcW w:w="2049" w:type="dxa"/>
          </w:tcPr>
          <w:p w:rsidR="0059701B" w:rsidRPr="003B1E4C" w:rsidRDefault="0059701B" w:rsidP="00086E72">
            <w:pPr>
              <w:tabs>
                <w:tab w:val="left" w:pos="6600"/>
              </w:tabs>
              <w:jc w:val="both"/>
              <w:rPr>
                <w:rFonts w:ascii="Arial" w:hAnsi="Arial" w:cs="Arial"/>
              </w:rPr>
            </w:pPr>
            <w:r>
              <w:rPr>
                <w:rFonts w:ascii="Arial" w:hAnsi="Arial" w:cs="Arial"/>
              </w:rPr>
              <w:t>100%</w:t>
            </w:r>
          </w:p>
        </w:tc>
      </w:tr>
      <w:tr w:rsidR="0059701B" w:rsidRPr="003B1E4C" w:rsidTr="0059701B">
        <w:tc>
          <w:tcPr>
            <w:tcW w:w="2051" w:type="dxa"/>
          </w:tcPr>
          <w:p w:rsidR="0059701B" w:rsidRPr="003B1E4C" w:rsidRDefault="0059701B" w:rsidP="00086E72">
            <w:pPr>
              <w:tabs>
                <w:tab w:val="left" w:pos="6600"/>
              </w:tabs>
              <w:jc w:val="center"/>
              <w:rPr>
                <w:rFonts w:ascii="Arial" w:hAnsi="Arial" w:cs="Arial"/>
              </w:rPr>
            </w:pPr>
            <w:r w:rsidRPr="003B1E4C">
              <w:rPr>
                <w:rFonts w:ascii="Arial" w:hAnsi="Arial" w:cs="Arial"/>
              </w:rPr>
              <w:t>Routine</w:t>
            </w:r>
          </w:p>
        </w:tc>
        <w:tc>
          <w:tcPr>
            <w:tcW w:w="2036" w:type="dxa"/>
          </w:tcPr>
          <w:p w:rsidR="0059701B" w:rsidRPr="003B1E4C" w:rsidRDefault="0059701B" w:rsidP="00086E72">
            <w:pPr>
              <w:tabs>
                <w:tab w:val="left" w:pos="6600"/>
              </w:tabs>
              <w:jc w:val="center"/>
              <w:rPr>
                <w:rFonts w:ascii="Arial" w:hAnsi="Arial" w:cs="Arial"/>
              </w:rPr>
            </w:pPr>
            <w:r w:rsidRPr="003B1E4C">
              <w:rPr>
                <w:rFonts w:ascii="Arial" w:hAnsi="Arial" w:cs="Arial"/>
              </w:rPr>
              <w:t>21 days</w:t>
            </w:r>
          </w:p>
        </w:tc>
        <w:tc>
          <w:tcPr>
            <w:tcW w:w="1755" w:type="dxa"/>
          </w:tcPr>
          <w:p w:rsidR="0059701B" w:rsidRDefault="0059701B" w:rsidP="0059701B">
            <w:pPr>
              <w:tabs>
                <w:tab w:val="left" w:pos="6600"/>
              </w:tabs>
              <w:jc w:val="center"/>
              <w:rPr>
                <w:rFonts w:ascii="Arial" w:hAnsi="Arial" w:cs="Arial"/>
              </w:rPr>
            </w:pPr>
            <w:r>
              <w:rPr>
                <w:rFonts w:ascii="Arial" w:hAnsi="Arial" w:cs="Arial"/>
              </w:rPr>
              <w:t>963</w:t>
            </w:r>
          </w:p>
        </w:tc>
        <w:tc>
          <w:tcPr>
            <w:tcW w:w="2049" w:type="dxa"/>
          </w:tcPr>
          <w:p w:rsidR="0059701B" w:rsidRPr="003B1E4C" w:rsidRDefault="0059701B" w:rsidP="00086E72">
            <w:pPr>
              <w:tabs>
                <w:tab w:val="left" w:pos="6600"/>
              </w:tabs>
              <w:jc w:val="both"/>
              <w:rPr>
                <w:rFonts w:ascii="Arial" w:hAnsi="Arial" w:cs="Arial"/>
              </w:rPr>
            </w:pPr>
            <w:r>
              <w:rPr>
                <w:rFonts w:ascii="Arial" w:hAnsi="Arial" w:cs="Arial"/>
              </w:rPr>
              <w:t>99.8%</w:t>
            </w:r>
          </w:p>
        </w:tc>
      </w:tr>
    </w:tbl>
    <w:p w:rsidR="004453E4" w:rsidRPr="003B1E4C" w:rsidRDefault="004453E4" w:rsidP="009F7CD3">
      <w:pPr>
        <w:tabs>
          <w:tab w:val="left" w:pos="6600"/>
        </w:tabs>
        <w:rPr>
          <w:rFonts w:ascii="Arial" w:hAnsi="Arial" w:cs="Arial"/>
        </w:rPr>
      </w:pPr>
    </w:p>
    <w:p w:rsidR="00DF021F" w:rsidRDefault="008358F6" w:rsidP="009F7CD3">
      <w:pPr>
        <w:tabs>
          <w:tab w:val="left" w:pos="6600"/>
        </w:tabs>
        <w:rPr>
          <w:rFonts w:ascii="Arial" w:hAnsi="Arial" w:cs="Arial"/>
        </w:rPr>
      </w:pPr>
      <w:r>
        <w:rPr>
          <w:rFonts w:ascii="Arial" w:hAnsi="Arial" w:cs="Arial"/>
        </w:rPr>
        <w:t xml:space="preserve">As a result of a comprehensive review of our repairs and maintenance service, we </w:t>
      </w:r>
      <w:r w:rsidR="004F36AD">
        <w:rPr>
          <w:rFonts w:ascii="Arial" w:hAnsi="Arial" w:cs="Arial"/>
        </w:rPr>
        <w:t>have appointed</w:t>
      </w:r>
      <w:r>
        <w:rPr>
          <w:rFonts w:ascii="Arial" w:hAnsi="Arial" w:cs="Arial"/>
        </w:rPr>
        <w:t xml:space="preserve"> HMS to deliver a single contractor service from April 2017.  We have moved to an appointment based service, with tenants agreeing an appointment date and time at the point of reporting a repair.  </w:t>
      </w:r>
      <w:r w:rsidR="0059701B">
        <w:rPr>
          <w:rFonts w:ascii="Arial" w:hAnsi="Arial" w:cs="Arial"/>
        </w:rPr>
        <w:t xml:space="preserve">The average end to </w:t>
      </w:r>
      <w:r w:rsidR="009509FB">
        <w:rPr>
          <w:rFonts w:ascii="Arial" w:hAnsi="Arial" w:cs="Arial"/>
        </w:rPr>
        <w:t>end time</w:t>
      </w:r>
      <w:r w:rsidR="0059701B">
        <w:rPr>
          <w:rFonts w:ascii="Arial" w:hAnsi="Arial" w:cs="Arial"/>
        </w:rPr>
        <w:t xml:space="preserve"> for all reactive repairs to be completed stand at 8 days.</w:t>
      </w:r>
    </w:p>
    <w:p w:rsidR="008358F6" w:rsidRDefault="008358F6" w:rsidP="009F7CD3">
      <w:pPr>
        <w:tabs>
          <w:tab w:val="left" w:pos="6600"/>
        </w:tabs>
        <w:rPr>
          <w:rFonts w:ascii="Arial" w:hAnsi="Arial" w:cs="Arial"/>
        </w:rPr>
      </w:pPr>
    </w:p>
    <w:p w:rsidR="004453E4" w:rsidRPr="003B1E4C" w:rsidRDefault="004453E4" w:rsidP="009F7CD3">
      <w:pPr>
        <w:tabs>
          <w:tab w:val="left" w:pos="6600"/>
        </w:tabs>
        <w:rPr>
          <w:rFonts w:ascii="Arial" w:hAnsi="Arial" w:cs="Arial"/>
        </w:rPr>
      </w:pPr>
      <w:r w:rsidRPr="003B1E4C">
        <w:rPr>
          <w:rFonts w:ascii="Arial" w:hAnsi="Arial" w:cs="Arial"/>
        </w:rPr>
        <w:t xml:space="preserve">We also have a responsibility to ensure that all gas appliance provided by the Association in our properties are serviced and given an annual safety check.  At the end of March </w:t>
      </w:r>
      <w:r w:rsidR="009509FB" w:rsidRPr="003B1E4C">
        <w:rPr>
          <w:rFonts w:ascii="Arial" w:hAnsi="Arial" w:cs="Arial"/>
        </w:rPr>
        <w:t>201</w:t>
      </w:r>
      <w:r w:rsidR="009509FB">
        <w:rPr>
          <w:rFonts w:ascii="Arial" w:hAnsi="Arial" w:cs="Arial"/>
        </w:rPr>
        <w:t xml:space="preserve">8, </w:t>
      </w:r>
      <w:r w:rsidR="009509FB" w:rsidRPr="003B1E4C">
        <w:rPr>
          <w:rFonts w:ascii="Arial" w:hAnsi="Arial" w:cs="Arial"/>
        </w:rPr>
        <w:t>100</w:t>
      </w:r>
      <w:r w:rsidR="00086E72" w:rsidRPr="0059701B">
        <w:rPr>
          <w:rFonts w:ascii="Arial" w:hAnsi="Arial" w:cs="Arial"/>
        </w:rPr>
        <w:t xml:space="preserve">% </w:t>
      </w:r>
      <w:r w:rsidRPr="003B1E4C">
        <w:rPr>
          <w:rFonts w:ascii="Arial" w:hAnsi="Arial" w:cs="Arial"/>
        </w:rPr>
        <w:t>of</w:t>
      </w:r>
      <w:r w:rsidR="00086E72" w:rsidRPr="003B1E4C">
        <w:rPr>
          <w:rFonts w:ascii="Arial" w:hAnsi="Arial" w:cs="Arial"/>
        </w:rPr>
        <w:t xml:space="preserve"> our</w:t>
      </w:r>
      <w:r w:rsidRPr="003B1E4C">
        <w:rPr>
          <w:rFonts w:ascii="Arial" w:hAnsi="Arial" w:cs="Arial"/>
        </w:rPr>
        <w:t xml:space="preserve"> properties had a current safety certificate.  We take gas safety very seriously and encourage all tenants to provide access for our contractors.  Where we are unable to gain access and receive no co-operation from tenants then we take legal action to enable us to carry out the work.</w:t>
      </w:r>
    </w:p>
    <w:p w:rsidR="004453E4" w:rsidRPr="003B1E4C" w:rsidRDefault="004453E4" w:rsidP="009F7CD3">
      <w:pPr>
        <w:tabs>
          <w:tab w:val="left" w:pos="6600"/>
        </w:tabs>
        <w:rPr>
          <w:rFonts w:ascii="Arial" w:hAnsi="Arial" w:cs="Arial"/>
        </w:rPr>
      </w:pPr>
    </w:p>
    <w:p w:rsidR="004453E4" w:rsidRPr="003B1E4C" w:rsidRDefault="009222A8" w:rsidP="009F7CD3">
      <w:pPr>
        <w:tabs>
          <w:tab w:val="left" w:pos="6600"/>
        </w:tabs>
        <w:rPr>
          <w:rFonts w:ascii="Arial" w:hAnsi="Arial" w:cs="Arial"/>
        </w:rPr>
      </w:pPr>
      <w:r w:rsidRPr="003B1E4C">
        <w:rPr>
          <w:rFonts w:ascii="Arial" w:hAnsi="Arial" w:cs="Arial"/>
        </w:rPr>
        <w:t xml:space="preserve">The cost of legal action is money that would be best spent on our </w:t>
      </w:r>
      <w:r w:rsidR="000B5B6B" w:rsidRPr="003B1E4C">
        <w:rPr>
          <w:rFonts w:ascii="Arial" w:hAnsi="Arial" w:cs="Arial"/>
        </w:rPr>
        <w:t>properties.  If our tenants fail to contact us to arrange their</w:t>
      </w:r>
      <w:r w:rsidRPr="003B1E4C">
        <w:rPr>
          <w:rFonts w:ascii="Arial" w:hAnsi="Arial" w:cs="Arial"/>
        </w:rPr>
        <w:t xml:space="preserve"> gas safety checks and </w:t>
      </w:r>
      <w:r w:rsidR="004453E4" w:rsidRPr="003B1E4C">
        <w:rPr>
          <w:rFonts w:ascii="Arial" w:hAnsi="Arial" w:cs="Arial"/>
        </w:rPr>
        <w:t>legal action is required</w:t>
      </w:r>
      <w:r w:rsidR="000B5B6B" w:rsidRPr="003B1E4C">
        <w:rPr>
          <w:rFonts w:ascii="Arial" w:hAnsi="Arial" w:cs="Arial"/>
        </w:rPr>
        <w:t>,</w:t>
      </w:r>
      <w:r w:rsidR="004453E4" w:rsidRPr="003B1E4C">
        <w:rPr>
          <w:rFonts w:ascii="Arial" w:hAnsi="Arial" w:cs="Arial"/>
        </w:rPr>
        <w:t xml:space="preserve"> the costs </w:t>
      </w:r>
      <w:r w:rsidRPr="003B1E4C">
        <w:rPr>
          <w:rFonts w:ascii="Arial" w:hAnsi="Arial" w:cs="Arial"/>
        </w:rPr>
        <w:t xml:space="preserve">associated with legal action </w:t>
      </w:r>
      <w:r w:rsidR="004453E4" w:rsidRPr="003B1E4C">
        <w:rPr>
          <w:rFonts w:ascii="Arial" w:hAnsi="Arial" w:cs="Arial"/>
        </w:rPr>
        <w:t xml:space="preserve">are recovered from the tenant.   Please do not ignore </w:t>
      </w:r>
      <w:r w:rsidR="000B5B6B" w:rsidRPr="003B1E4C">
        <w:rPr>
          <w:rFonts w:ascii="Arial" w:hAnsi="Arial" w:cs="Arial"/>
        </w:rPr>
        <w:t xml:space="preserve">cards and </w:t>
      </w:r>
      <w:r w:rsidR="004453E4" w:rsidRPr="003B1E4C">
        <w:rPr>
          <w:rFonts w:ascii="Arial" w:hAnsi="Arial" w:cs="Arial"/>
        </w:rPr>
        <w:t>letters when we inform you that we are coming out to do the gas safety check.  These checks save lives.</w:t>
      </w:r>
    </w:p>
    <w:p w:rsidR="00AD09FC" w:rsidRPr="003B1E4C" w:rsidRDefault="00AD09FC" w:rsidP="009F7CD3">
      <w:pPr>
        <w:tabs>
          <w:tab w:val="left" w:pos="6600"/>
        </w:tabs>
        <w:rPr>
          <w:rFonts w:ascii="Arial" w:hAnsi="Arial" w:cs="Arial"/>
        </w:rPr>
      </w:pPr>
    </w:p>
    <w:p w:rsidR="00AD09FC" w:rsidRPr="003B1E4C" w:rsidRDefault="000738DD" w:rsidP="00AD09FC">
      <w:pPr>
        <w:tabs>
          <w:tab w:val="left" w:pos="6600"/>
        </w:tabs>
        <w:jc w:val="right"/>
        <w:rPr>
          <w:rFonts w:ascii="Arial" w:hAnsi="Arial" w:cs="Arial"/>
          <w:b/>
        </w:rPr>
      </w:pPr>
      <w:r w:rsidRPr="003B1E4C">
        <w:rPr>
          <w:rFonts w:ascii="Arial" w:hAnsi="Arial" w:cs="Arial"/>
          <w:noProof/>
          <w:color w:val="0000FF"/>
          <w:lang w:eastAsia="en-GB"/>
        </w:rPr>
        <w:drawing>
          <wp:anchor distT="0" distB="0" distL="114300" distR="114300" simplePos="0" relativeHeight="251671552" behindDoc="1" locked="0" layoutInCell="1" allowOverlap="1">
            <wp:simplePos x="0" y="0"/>
            <wp:positionH relativeFrom="column">
              <wp:posOffset>2180590</wp:posOffset>
            </wp:positionH>
            <wp:positionV relativeFrom="paragraph">
              <wp:posOffset>294640</wp:posOffset>
            </wp:positionV>
            <wp:extent cx="1181100" cy="1576691"/>
            <wp:effectExtent l="0" t="0" r="0" b="5080"/>
            <wp:wrapNone/>
            <wp:docPr id="5" name="Picture 5" descr="http://www.craftyjenny.com/images/clipart/spanner-download.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aftyjenny.com/images/clipart/spanner-download.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181100" cy="15766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9FC" w:rsidRPr="003B1E4C" w:rsidRDefault="00AD09FC" w:rsidP="00AD09FC">
      <w:pPr>
        <w:tabs>
          <w:tab w:val="left" w:pos="6600"/>
        </w:tabs>
        <w:jc w:val="right"/>
        <w:rPr>
          <w:rFonts w:ascii="Arial" w:hAnsi="Arial" w:cs="Arial"/>
          <w:b/>
        </w:rPr>
      </w:pPr>
      <w:r w:rsidRPr="003B1E4C">
        <w:rPr>
          <w:rFonts w:ascii="Arial" w:hAnsi="Arial" w:cs="Arial"/>
          <w:b/>
        </w:rPr>
        <w:t xml:space="preserve">    </w:t>
      </w:r>
    </w:p>
    <w:p w:rsidR="00AD09FC" w:rsidRPr="003B1E4C" w:rsidRDefault="00AD09FC" w:rsidP="009F7CD3">
      <w:pPr>
        <w:tabs>
          <w:tab w:val="left" w:pos="6600"/>
        </w:tabs>
        <w:rPr>
          <w:rFonts w:ascii="Arial" w:hAnsi="Arial" w:cs="Arial"/>
          <w:b/>
        </w:rPr>
      </w:pPr>
    </w:p>
    <w:p w:rsidR="00AD09FC" w:rsidRPr="003B1E4C" w:rsidRDefault="00AD09FC" w:rsidP="009F7CD3">
      <w:pPr>
        <w:tabs>
          <w:tab w:val="left" w:pos="6600"/>
        </w:tabs>
        <w:rPr>
          <w:rFonts w:ascii="Arial" w:hAnsi="Arial" w:cs="Arial"/>
          <w:b/>
        </w:rPr>
      </w:pPr>
    </w:p>
    <w:p w:rsidR="000738DD" w:rsidRDefault="000738DD" w:rsidP="009F7CD3">
      <w:pPr>
        <w:tabs>
          <w:tab w:val="left" w:pos="6600"/>
        </w:tabs>
        <w:rPr>
          <w:rFonts w:ascii="Arial" w:hAnsi="Arial" w:cs="Arial"/>
          <w:b/>
        </w:rPr>
      </w:pPr>
    </w:p>
    <w:p w:rsidR="000738DD" w:rsidRDefault="000738DD" w:rsidP="009F7CD3">
      <w:pPr>
        <w:tabs>
          <w:tab w:val="left" w:pos="6600"/>
        </w:tabs>
        <w:rPr>
          <w:rFonts w:ascii="Arial" w:hAnsi="Arial" w:cs="Arial"/>
          <w:b/>
        </w:rPr>
      </w:pPr>
    </w:p>
    <w:p w:rsidR="000738DD" w:rsidRDefault="000738DD" w:rsidP="000738DD">
      <w:pPr>
        <w:tabs>
          <w:tab w:val="left" w:pos="8931"/>
        </w:tabs>
        <w:rPr>
          <w:rFonts w:ascii="Arial" w:hAnsi="Arial" w:cs="Arial"/>
          <w:b/>
        </w:rPr>
      </w:pPr>
      <w:r w:rsidRPr="003B1E4C">
        <w:rPr>
          <w:rFonts w:ascii="Arial" w:hAnsi="Arial" w:cs="Arial"/>
          <w:noProof/>
          <w:lang w:eastAsia="en-GB"/>
        </w:rPr>
        <w:lastRenderedPageBreak/>
        <w:drawing>
          <wp:anchor distT="0" distB="0" distL="0" distR="0" simplePos="0" relativeHeight="251663360" behindDoc="0" locked="0" layoutInCell="1" allowOverlap="0" wp14:anchorId="5A21D468" wp14:editId="5EDE7E1C">
            <wp:simplePos x="0" y="0"/>
            <wp:positionH relativeFrom="column">
              <wp:posOffset>47625</wp:posOffset>
            </wp:positionH>
            <wp:positionV relativeFrom="line">
              <wp:posOffset>0</wp:posOffset>
            </wp:positionV>
            <wp:extent cx="1104900" cy="945515"/>
            <wp:effectExtent l="0" t="0" r="0" b="6985"/>
            <wp:wrapSquare wrapText="bothSides"/>
            <wp:docPr id="8" name="Picture 8" descr="http://www2.estrellamountain.edu/faculty/stonebrink/Johnson/Clips/M1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estrellamountain.edu/faculty/stonebrink/Johnson/Clips/M1746.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3B1E4C">
        <w:rPr>
          <w:rFonts w:ascii="Arial" w:hAnsi="Arial" w:cs="Arial"/>
          <w:noProof/>
          <w:color w:val="0000FF"/>
          <w:lang w:eastAsia="en-GB"/>
        </w:rPr>
        <w:drawing>
          <wp:inline distT="0" distB="0" distL="0" distR="0" wp14:anchorId="5A3E690B" wp14:editId="2750A7FC">
            <wp:extent cx="1152525" cy="872108"/>
            <wp:effectExtent l="0" t="0" r="0" b="4445"/>
            <wp:docPr id="6" name="Picture 6" descr="http://www.cksinfo.com/clipart/buildings/homesandhouses/home-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ksinfo.com/clipart/buildings/homesandhouses/home-1.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2619" cy="902447"/>
                    </a:xfrm>
                    <a:prstGeom prst="rect">
                      <a:avLst/>
                    </a:prstGeom>
                    <a:noFill/>
                    <a:ln>
                      <a:noFill/>
                    </a:ln>
                  </pic:spPr>
                </pic:pic>
              </a:graphicData>
            </a:graphic>
          </wp:inline>
        </w:drawing>
      </w:r>
    </w:p>
    <w:p w:rsidR="000738DD" w:rsidRDefault="000738DD" w:rsidP="000738DD">
      <w:pPr>
        <w:tabs>
          <w:tab w:val="left" w:pos="8931"/>
        </w:tabs>
        <w:rPr>
          <w:rFonts w:ascii="Arial" w:hAnsi="Arial" w:cs="Arial"/>
          <w:b/>
        </w:rPr>
      </w:pPr>
      <w:r>
        <w:rPr>
          <w:rFonts w:ascii="Arial" w:hAnsi="Arial" w:cs="Arial"/>
          <w:noProof/>
          <w:color w:val="0000FF"/>
          <w:lang w:eastAsia="en-GB"/>
        </w:rPr>
        <w:t xml:space="preserve">                                                                               </w:t>
      </w:r>
    </w:p>
    <w:p w:rsidR="000738DD" w:rsidRDefault="000738DD" w:rsidP="000738DD">
      <w:pPr>
        <w:tabs>
          <w:tab w:val="left" w:pos="8931"/>
        </w:tabs>
        <w:rPr>
          <w:rFonts w:ascii="Arial" w:hAnsi="Arial" w:cs="Arial"/>
          <w:b/>
        </w:rPr>
      </w:pPr>
      <w:r w:rsidRPr="003B1E4C">
        <w:rPr>
          <w:rFonts w:ascii="Arial" w:hAnsi="Arial" w:cs="Arial"/>
          <w:b/>
        </w:rPr>
        <w:t>Allocations and Lettings</w:t>
      </w:r>
      <w:r>
        <w:rPr>
          <w:rFonts w:ascii="Arial" w:hAnsi="Arial" w:cs="Arial"/>
          <w:b/>
        </w:rPr>
        <w:t xml:space="preserve">  </w:t>
      </w:r>
    </w:p>
    <w:p w:rsidR="00AD09FC" w:rsidRPr="003B1E4C" w:rsidRDefault="000738DD" w:rsidP="000738DD">
      <w:pPr>
        <w:tabs>
          <w:tab w:val="left" w:pos="8931"/>
        </w:tabs>
        <w:rPr>
          <w:rFonts w:ascii="Arial" w:hAnsi="Arial" w:cs="Arial"/>
          <w:b/>
        </w:rPr>
      </w:pPr>
      <w:r>
        <w:rPr>
          <w:rFonts w:ascii="Arial" w:hAnsi="Arial" w:cs="Arial"/>
          <w:b/>
        </w:rPr>
        <w:t xml:space="preserve">                          </w:t>
      </w:r>
    </w:p>
    <w:p w:rsidR="00AD09FC" w:rsidRPr="003B1E4C" w:rsidRDefault="00AD09FC" w:rsidP="009F7CD3">
      <w:pPr>
        <w:tabs>
          <w:tab w:val="left" w:pos="6600"/>
        </w:tabs>
        <w:rPr>
          <w:rFonts w:ascii="Arial" w:hAnsi="Arial" w:cs="Arial"/>
        </w:rPr>
      </w:pPr>
      <w:r w:rsidRPr="003B1E4C">
        <w:rPr>
          <w:rFonts w:ascii="Arial" w:hAnsi="Arial" w:cs="Arial"/>
        </w:rPr>
        <w:t>We play a small but significant role in meeting housing need in Liverpool.  We operate our own lettings policy which allows us to help people in housing need.</w:t>
      </w:r>
    </w:p>
    <w:p w:rsidR="00AD09FC" w:rsidRPr="003B1E4C" w:rsidRDefault="00AD09FC" w:rsidP="009F7CD3">
      <w:pPr>
        <w:tabs>
          <w:tab w:val="left" w:pos="6600"/>
        </w:tabs>
        <w:rPr>
          <w:rFonts w:ascii="Arial" w:hAnsi="Arial" w:cs="Arial"/>
        </w:rPr>
      </w:pPr>
    </w:p>
    <w:p w:rsidR="00AD09FC" w:rsidRPr="003B1E4C" w:rsidRDefault="00AD6291" w:rsidP="009F7CD3">
      <w:pPr>
        <w:tabs>
          <w:tab w:val="left" w:pos="6600"/>
        </w:tabs>
        <w:rPr>
          <w:rFonts w:ascii="Arial" w:hAnsi="Arial" w:cs="Arial"/>
        </w:rPr>
      </w:pPr>
      <w:r>
        <w:rPr>
          <w:rFonts w:ascii="Arial" w:hAnsi="Arial" w:cs="Arial"/>
        </w:rPr>
        <w:t>We let 1</w:t>
      </w:r>
      <w:r w:rsidR="00636CF3">
        <w:rPr>
          <w:rFonts w:ascii="Arial" w:hAnsi="Arial" w:cs="Arial"/>
        </w:rPr>
        <w:t>8</w:t>
      </w:r>
      <w:r>
        <w:rPr>
          <w:rFonts w:ascii="Arial" w:hAnsi="Arial" w:cs="Arial"/>
        </w:rPr>
        <w:t xml:space="preserve"> </w:t>
      </w:r>
      <w:r w:rsidR="00AD09FC" w:rsidRPr="003B1E4C">
        <w:rPr>
          <w:rFonts w:ascii="Arial" w:hAnsi="Arial" w:cs="Arial"/>
        </w:rPr>
        <w:t>properties in the year April 201</w:t>
      </w:r>
      <w:r w:rsidR="009244A9">
        <w:rPr>
          <w:rFonts w:ascii="Arial" w:hAnsi="Arial" w:cs="Arial"/>
        </w:rPr>
        <w:t>7</w:t>
      </w:r>
      <w:r w:rsidR="00AD09FC" w:rsidRPr="003B1E4C">
        <w:rPr>
          <w:rFonts w:ascii="Arial" w:hAnsi="Arial" w:cs="Arial"/>
        </w:rPr>
        <w:t xml:space="preserve"> – March 201</w:t>
      </w:r>
      <w:r w:rsidR="009244A9">
        <w:rPr>
          <w:rFonts w:ascii="Arial" w:hAnsi="Arial" w:cs="Arial"/>
        </w:rPr>
        <w:t>8</w:t>
      </w:r>
      <w:r w:rsidR="00AD09FC" w:rsidRPr="003B1E4C">
        <w:rPr>
          <w:rFonts w:ascii="Arial" w:hAnsi="Arial" w:cs="Arial"/>
        </w:rPr>
        <w:t>.</w:t>
      </w:r>
    </w:p>
    <w:p w:rsidR="00AD09FC" w:rsidRPr="003B1E4C" w:rsidRDefault="00AD09FC" w:rsidP="009F7CD3">
      <w:pPr>
        <w:tabs>
          <w:tab w:val="left" w:pos="6600"/>
        </w:tabs>
        <w:rPr>
          <w:rFonts w:ascii="Arial" w:hAnsi="Arial" w:cs="Arial"/>
        </w:rPr>
      </w:pPr>
    </w:p>
    <w:p w:rsidR="00AD09FC" w:rsidRPr="003B1E4C" w:rsidRDefault="00AD09FC" w:rsidP="009F7CD3">
      <w:pPr>
        <w:tabs>
          <w:tab w:val="left" w:pos="6600"/>
        </w:tabs>
        <w:rPr>
          <w:rFonts w:ascii="Arial" w:hAnsi="Arial" w:cs="Arial"/>
        </w:rPr>
      </w:pPr>
      <w:r w:rsidRPr="003B1E4C">
        <w:rPr>
          <w:rFonts w:ascii="Arial" w:hAnsi="Arial" w:cs="Arial"/>
        </w:rPr>
        <w:t>We also aim to minimise rent losses and make the best use of our housing stock by turning vacant properties round quickly.  The table below provides information on vacant properties.</w:t>
      </w:r>
    </w:p>
    <w:p w:rsidR="004453E4" w:rsidRPr="003B1E4C" w:rsidRDefault="004453E4" w:rsidP="009F7CD3">
      <w:pPr>
        <w:tabs>
          <w:tab w:val="left" w:pos="6600"/>
        </w:tabs>
        <w:rPr>
          <w:rFonts w:ascii="Arial" w:hAnsi="Arial" w:cs="Arial"/>
        </w:rPr>
      </w:pPr>
    </w:p>
    <w:tbl>
      <w:tblPr>
        <w:tblStyle w:val="TableGrid"/>
        <w:tblW w:w="9016" w:type="dxa"/>
        <w:tblLook w:val="04A0" w:firstRow="1" w:lastRow="0" w:firstColumn="1" w:lastColumn="0" w:noHBand="0" w:noVBand="1"/>
      </w:tblPr>
      <w:tblGrid>
        <w:gridCol w:w="4508"/>
        <w:gridCol w:w="4508"/>
      </w:tblGrid>
      <w:tr w:rsidR="00C41047" w:rsidRPr="003B1E4C" w:rsidTr="00C41047">
        <w:tc>
          <w:tcPr>
            <w:tcW w:w="4508" w:type="dxa"/>
          </w:tcPr>
          <w:p w:rsidR="00C41047" w:rsidRPr="003B1E4C" w:rsidRDefault="00C41047" w:rsidP="00C41047">
            <w:pPr>
              <w:tabs>
                <w:tab w:val="left" w:pos="6600"/>
              </w:tabs>
              <w:rPr>
                <w:rFonts w:ascii="Arial" w:hAnsi="Arial" w:cs="Arial"/>
              </w:rPr>
            </w:pPr>
            <w:r w:rsidRPr="003B1E4C">
              <w:rPr>
                <w:rFonts w:ascii="Arial" w:hAnsi="Arial" w:cs="Arial"/>
              </w:rPr>
              <w:t xml:space="preserve">Empty </w:t>
            </w:r>
            <w:r w:rsidR="00636CF3">
              <w:rPr>
                <w:rFonts w:ascii="Arial" w:hAnsi="Arial" w:cs="Arial"/>
              </w:rPr>
              <w:t>Properties at 31 March 2018</w:t>
            </w:r>
          </w:p>
        </w:tc>
        <w:tc>
          <w:tcPr>
            <w:tcW w:w="4508" w:type="dxa"/>
          </w:tcPr>
          <w:p w:rsidR="00C41047" w:rsidRPr="003B1E4C" w:rsidRDefault="005421C2" w:rsidP="00636CF3">
            <w:pPr>
              <w:tabs>
                <w:tab w:val="left" w:pos="6600"/>
              </w:tabs>
              <w:rPr>
                <w:rFonts w:ascii="Arial" w:hAnsi="Arial" w:cs="Arial"/>
              </w:rPr>
            </w:pPr>
            <w:r>
              <w:rPr>
                <w:rFonts w:ascii="Arial" w:hAnsi="Arial" w:cs="Arial"/>
              </w:rPr>
              <w:t xml:space="preserve">4 </w:t>
            </w:r>
          </w:p>
        </w:tc>
      </w:tr>
      <w:tr w:rsidR="00C41047" w:rsidRPr="003B1E4C" w:rsidTr="00C41047">
        <w:tc>
          <w:tcPr>
            <w:tcW w:w="4508" w:type="dxa"/>
          </w:tcPr>
          <w:p w:rsidR="00C41047" w:rsidRPr="003B1E4C" w:rsidRDefault="00AD6291" w:rsidP="00636CF3">
            <w:pPr>
              <w:tabs>
                <w:tab w:val="left" w:pos="6600"/>
              </w:tabs>
              <w:rPr>
                <w:rFonts w:ascii="Arial" w:hAnsi="Arial" w:cs="Arial"/>
              </w:rPr>
            </w:pPr>
            <w:r>
              <w:rPr>
                <w:rFonts w:ascii="Arial" w:hAnsi="Arial" w:cs="Arial"/>
              </w:rPr>
              <w:t>Average time to relet in 201</w:t>
            </w:r>
            <w:r w:rsidR="00636CF3">
              <w:rPr>
                <w:rFonts w:ascii="Arial" w:hAnsi="Arial" w:cs="Arial"/>
              </w:rPr>
              <w:t>7</w:t>
            </w:r>
            <w:r>
              <w:rPr>
                <w:rFonts w:ascii="Arial" w:hAnsi="Arial" w:cs="Arial"/>
              </w:rPr>
              <w:t>/1</w:t>
            </w:r>
            <w:r w:rsidR="00636CF3">
              <w:rPr>
                <w:rFonts w:ascii="Arial" w:hAnsi="Arial" w:cs="Arial"/>
              </w:rPr>
              <w:t>8</w:t>
            </w:r>
          </w:p>
        </w:tc>
        <w:tc>
          <w:tcPr>
            <w:tcW w:w="4508" w:type="dxa"/>
          </w:tcPr>
          <w:p w:rsidR="00C41047" w:rsidRPr="003B1E4C" w:rsidRDefault="00AD6291" w:rsidP="00C41047">
            <w:pPr>
              <w:tabs>
                <w:tab w:val="left" w:pos="6600"/>
              </w:tabs>
              <w:jc w:val="both"/>
              <w:rPr>
                <w:rFonts w:ascii="Arial" w:hAnsi="Arial" w:cs="Arial"/>
              </w:rPr>
            </w:pPr>
            <w:r>
              <w:rPr>
                <w:rFonts w:ascii="Arial" w:hAnsi="Arial" w:cs="Arial"/>
              </w:rPr>
              <w:t>1</w:t>
            </w:r>
            <w:r w:rsidR="00636CF3">
              <w:rPr>
                <w:rFonts w:ascii="Arial" w:hAnsi="Arial" w:cs="Arial"/>
              </w:rPr>
              <w:t>6</w:t>
            </w:r>
            <w:r>
              <w:rPr>
                <w:rFonts w:ascii="Arial" w:hAnsi="Arial" w:cs="Arial"/>
              </w:rPr>
              <w:t>.6 days</w:t>
            </w:r>
          </w:p>
        </w:tc>
      </w:tr>
      <w:tr w:rsidR="00C41047" w:rsidRPr="003B1E4C" w:rsidTr="00C41047">
        <w:tc>
          <w:tcPr>
            <w:tcW w:w="4508" w:type="dxa"/>
          </w:tcPr>
          <w:p w:rsidR="00C41047" w:rsidRPr="003B1E4C" w:rsidRDefault="00AD6291" w:rsidP="00636CF3">
            <w:pPr>
              <w:tabs>
                <w:tab w:val="left" w:pos="6600"/>
              </w:tabs>
              <w:rPr>
                <w:rFonts w:ascii="Arial" w:hAnsi="Arial" w:cs="Arial"/>
              </w:rPr>
            </w:pPr>
            <w:r>
              <w:rPr>
                <w:rFonts w:ascii="Arial" w:hAnsi="Arial" w:cs="Arial"/>
              </w:rPr>
              <w:t>Rent loss in 201</w:t>
            </w:r>
            <w:r w:rsidR="00636CF3">
              <w:rPr>
                <w:rFonts w:ascii="Arial" w:hAnsi="Arial" w:cs="Arial"/>
              </w:rPr>
              <w:t>7</w:t>
            </w:r>
            <w:r>
              <w:rPr>
                <w:rFonts w:ascii="Arial" w:hAnsi="Arial" w:cs="Arial"/>
              </w:rPr>
              <w:t>/1</w:t>
            </w:r>
            <w:r w:rsidR="00636CF3">
              <w:rPr>
                <w:rFonts w:ascii="Arial" w:hAnsi="Arial" w:cs="Arial"/>
              </w:rPr>
              <w:t>8</w:t>
            </w:r>
            <w:r>
              <w:rPr>
                <w:rFonts w:ascii="Arial" w:hAnsi="Arial" w:cs="Arial"/>
              </w:rPr>
              <w:t xml:space="preserve"> </w:t>
            </w:r>
            <w:r w:rsidR="00C41047" w:rsidRPr="003B1E4C">
              <w:rPr>
                <w:rFonts w:ascii="Arial" w:hAnsi="Arial" w:cs="Arial"/>
              </w:rPr>
              <w:t>due to empty properties</w:t>
            </w:r>
          </w:p>
        </w:tc>
        <w:tc>
          <w:tcPr>
            <w:tcW w:w="4508" w:type="dxa"/>
          </w:tcPr>
          <w:p w:rsidR="00C41047" w:rsidRPr="003B1E4C" w:rsidRDefault="00636CF3" w:rsidP="00C41047">
            <w:pPr>
              <w:tabs>
                <w:tab w:val="left" w:pos="6600"/>
              </w:tabs>
              <w:jc w:val="both"/>
              <w:rPr>
                <w:rFonts w:ascii="Arial" w:hAnsi="Arial" w:cs="Arial"/>
              </w:rPr>
            </w:pPr>
            <w:r>
              <w:rPr>
                <w:rFonts w:ascii="Arial" w:hAnsi="Arial" w:cs="Arial"/>
              </w:rPr>
              <w:t>1.5</w:t>
            </w:r>
            <w:r w:rsidR="00C41047" w:rsidRPr="003B1E4C">
              <w:rPr>
                <w:rFonts w:ascii="Arial" w:hAnsi="Arial" w:cs="Arial"/>
              </w:rPr>
              <w:t>%</w:t>
            </w:r>
          </w:p>
        </w:tc>
      </w:tr>
    </w:tbl>
    <w:p w:rsidR="008E49E6" w:rsidRPr="003B1E4C" w:rsidRDefault="008E49E6" w:rsidP="009F7CD3">
      <w:pPr>
        <w:tabs>
          <w:tab w:val="left" w:pos="6600"/>
        </w:tabs>
        <w:rPr>
          <w:rFonts w:ascii="Arial" w:hAnsi="Arial" w:cs="Arial"/>
          <w:b/>
        </w:rPr>
      </w:pPr>
    </w:p>
    <w:p w:rsidR="00AD09FC" w:rsidRPr="003B1E4C" w:rsidRDefault="008E49E6" w:rsidP="008E49E6">
      <w:pPr>
        <w:tabs>
          <w:tab w:val="left" w:pos="6600"/>
        </w:tabs>
        <w:rPr>
          <w:rFonts w:ascii="Arial" w:hAnsi="Arial" w:cs="Arial"/>
          <w:b/>
        </w:rPr>
      </w:pPr>
      <w:r w:rsidRPr="003B1E4C">
        <w:rPr>
          <w:rFonts w:ascii="Arial" w:hAnsi="Arial" w:cs="Arial"/>
          <w:b/>
        </w:rPr>
        <w:t>Rents</w:t>
      </w:r>
    </w:p>
    <w:p w:rsidR="008E49E6" w:rsidRPr="003B1E4C" w:rsidRDefault="008E49E6" w:rsidP="009F7CD3">
      <w:pPr>
        <w:tabs>
          <w:tab w:val="left" w:pos="6600"/>
        </w:tabs>
        <w:rPr>
          <w:rFonts w:ascii="Arial" w:hAnsi="Arial" w:cs="Arial"/>
          <w:b/>
        </w:rPr>
      </w:pPr>
    </w:p>
    <w:p w:rsidR="008E49E6" w:rsidRPr="003B1E4C" w:rsidRDefault="008E49E6" w:rsidP="009F7CD3">
      <w:pPr>
        <w:tabs>
          <w:tab w:val="left" w:pos="6600"/>
        </w:tabs>
        <w:rPr>
          <w:rFonts w:ascii="Arial" w:hAnsi="Arial" w:cs="Arial"/>
        </w:rPr>
      </w:pPr>
      <w:r w:rsidRPr="003B1E4C">
        <w:rPr>
          <w:rFonts w:ascii="Arial" w:hAnsi="Arial" w:cs="Arial"/>
        </w:rPr>
        <w:t>The Homes and Communities Agency Rent standard required the Association to comply with the Governments guidance on rents.  This set out a formula for calculating rents based on average earnings, property valuations and property size.</w:t>
      </w:r>
    </w:p>
    <w:p w:rsidR="00C41047" w:rsidRPr="003B1E4C" w:rsidRDefault="00C41047" w:rsidP="009F7CD3">
      <w:pPr>
        <w:tabs>
          <w:tab w:val="left" w:pos="6600"/>
        </w:tabs>
        <w:rPr>
          <w:rFonts w:ascii="Arial" w:hAnsi="Arial" w:cs="Arial"/>
        </w:rPr>
      </w:pPr>
    </w:p>
    <w:p w:rsidR="00636CF3" w:rsidRDefault="008E49E6" w:rsidP="009F7CD3">
      <w:pPr>
        <w:tabs>
          <w:tab w:val="left" w:pos="6600"/>
        </w:tabs>
        <w:rPr>
          <w:rFonts w:ascii="Arial" w:hAnsi="Arial" w:cs="Arial"/>
        </w:rPr>
      </w:pPr>
      <w:r w:rsidRPr="003B1E4C">
        <w:rPr>
          <w:rFonts w:ascii="Arial" w:hAnsi="Arial" w:cs="Arial"/>
        </w:rPr>
        <w:t>Ea</w:t>
      </w:r>
      <w:r w:rsidR="000B5B6B" w:rsidRPr="003B1E4C">
        <w:rPr>
          <w:rFonts w:ascii="Arial" w:hAnsi="Arial" w:cs="Arial"/>
        </w:rPr>
        <w:t>ch</w:t>
      </w:r>
      <w:r w:rsidRPr="003B1E4C">
        <w:rPr>
          <w:rFonts w:ascii="Arial" w:hAnsi="Arial" w:cs="Arial"/>
        </w:rPr>
        <w:t xml:space="preserve"> year our managing agent NWHS prepares a rent plan showing how our rents comp</w:t>
      </w:r>
      <w:r w:rsidR="000B5B6B" w:rsidRPr="003B1E4C">
        <w:rPr>
          <w:rFonts w:ascii="Arial" w:hAnsi="Arial" w:cs="Arial"/>
        </w:rPr>
        <w:t xml:space="preserve">are to those recommended by </w:t>
      </w:r>
      <w:r w:rsidRPr="003B1E4C">
        <w:rPr>
          <w:rFonts w:ascii="Arial" w:hAnsi="Arial" w:cs="Arial"/>
        </w:rPr>
        <w:t>Government guidance and the Board m</w:t>
      </w:r>
      <w:r w:rsidR="000B5B6B" w:rsidRPr="003B1E4C">
        <w:rPr>
          <w:rFonts w:ascii="Arial" w:hAnsi="Arial" w:cs="Arial"/>
        </w:rPr>
        <w:t>akes a decision on any increase</w:t>
      </w:r>
      <w:r w:rsidRPr="003B1E4C">
        <w:rPr>
          <w:rFonts w:ascii="Arial" w:hAnsi="Arial" w:cs="Arial"/>
        </w:rPr>
        <w:t xml:space="preserve"> to be implemented.  </w:t>
      </w:r>
    </w:p>
    <w:p w:rsidR="00636CF3" w:rsidRDefault="00636CF3" w:rsidP="009F7CD3">
      <w:pPr>
        <w:tabs>
          <w:tab w:val="left" w:pos="6600"/>
        </w:tabs>
        <w:rPr>
          <w:rFonts w:ascii="Arial" w:hAnsi="Arial" w:cs="Arial"/>
        </w:rPr>
      </w:pPr>
    </w:p>
    <w:p w:rsidR="00636CF3" w:rsidRDefault="00636CF3" w:rsidP="009F7CD3">
      <w:pPr>
        <w:tabs>
          <w:tab w:val="left" w:pos="6600"/>
        </w:tabs>
        <w:rPr>
          <w:rFonts w:ascii="Arial" w:hAnsi="Arial" w:cs="Arial"/>
        </w:rPr>
      </w:pPr>
      <w:r w:rsidRPr="003B1E4C">
        <w:rPr>
          <w:rFonts w:ascii="Arial" w:hAnsi="Arial" w:cs="Arial"/>
        </w:rPr>
        <w:t>The Government announced in its summer budget 2015 that all social registered providers will have to cut its rent by 1% year on year for the next four years.  The Association amended its business plan and has planned for efficiencies in the forthcoming coming years to accommodate this reduction in income.</w:t>
      </w:r>
    </w:p>
    <w:p w:rsidR="00636CF3" w:rsidRDefault="00636CF3" w:rsidP="009F7CD3">
      <w:pPr>
        <w:tabs>
          <w:tab w:val="left" w:pos="6600"/>
        </w:tabs>
        <w:rPr>
          <w:rFonts w:ascii="Arial" w:hAnsi="Arial" w:cs="Arial"/>
        </w:rPr>
      </w:pPr>
    </w:p>
    <w:p w:rsidR="00636CF3" w:rsidRDefault="00636CF3" w:rsidP="00636CF3">
      <w:pPr>
        <w:tabs>
          <w:tab w:val="left" w:pos="6600"/>
        </w:tabs>
        <w:rPr>
          <w:rFonts w:ascii="Arial" w:hAnsi="Arial" w:cs="Arial"/>
        </w:rPr>
      </w:pPr>
      <w:r w:rsidRPr="003B1E4C">
        <w:rPr>
          <w:rFonts w:ascii="Arial" w:hAnsi="Arial" w:cs="Arial"/>
        </w:rPr>
        <w:t>The table below shows average rent levels for our different properties</w:t>
      </w:r>
      <w:r>
        <w:rPr>
          <w:rFonts w:ascii="Arial" w:hAnsi="Arial" w:cs="Arial"/>
        </w:rPr>
        <w:t xml:space="preserve"> taking into account the reduction in rent</w:t>
      </w:r>
      <w:r w:rsidRPr="003B1E4C">
        <w:rPr>
          <w:rFonts w:ascii="Arial" w:hAnsi="Arial" w:cs="Arial"/>
        </w:rPr>
        <w:t>.</w:t>
      </w:r>
    </w:p>
    <w:p w:rsidR="00C41047" w:rsidRPr="003B1E4C" w:rsidRDefault="00C41047" w:rsidP="009F7CD3">
      <w:pPr>
        <w:tabs>
          <w:tab w:val="left" w:pos="6600"/>
        </w:tabs>
        <w:rPr>
          <w:rFonts w:ascii="Arial" w:hAnsi="Arial" w:cs="Arial"/>
        </w:rPr>
      </w:pPr>
    </w:p>
    <w:tbl>
      <w:tblPr>
        <w:tblW w:w="0" w:type="auto"/>
        <w:tblCellMar>
          <w:left w:w="0" w:type="dxa"/>
          <w:right w:w="0" w:type="dxa"/>
        </w:tblCellMar>
        <w:tblLook w:val="04A0" w:firstRow="1" w:lastRow="0" w:firstColumn="1" w:lastColumn="0" w:noHBand="0" w:noVBand="1"/>
      </w:tblPr>
      <w:tblGrid>
        <w:gridCol w:w="2952"/>
        <w:gridCol w:w="2952"/>
        <w:gridCol w:w="2952"/>
      </w:tblGrid>
      <w:tr w:rsidR="00ED2F6C" w:rsidRPr="003B1E4C" w:rsidTr="00E67990">
        <w:tc>
          <w:tcPr>
            <w:tcW w:w="2952"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D2F6C" w:rsidRPr="003B1E4C" w:rsidRDefault="00ED2F6C" w:rsidP="00E67990">
            <w:pPr>
              <w:jc w:val="center"/>
              <w:rPr>
                <w:rFonts w:ascii="Arial" w:hAnsi="Arial" w:cs="Arial"/>
              </w:rPr>
            </w:pPr>
            <w:r w:rsidRPr="003B1E4C">
              <w:rPr>
                <w:rFonts w:ascii="Arial" w:hAnsi="Arial" w:cs="Arial"/>
              </w:rPr>
              <w:t>Number of Bedrooms</w:t>
            </w:r>
          </w:p>
        </w:tc>
        <w:tc>
          <w:tcPr>
            <w:tcW w:w="295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D2F6C" w:rsidRPr="003B1E4C" w:rsidRDefault="00ED2F6C" w:rsidP="00E67990">
            <w:pPr>
              <w:jc w:val="center"/>
              <w:rPr>
                <w:rFonts w:ascii="Arial" w:hAnsi="Arial" w:cs="Arial"/>
              </w:rPr>
            </w:pPr>
            <w:r w:rsidRPr="003B1E4C">
              <w:rPr>
                <w:rFonts w:ascii="Arial" w:hAnsi="Arial" w:cs="Arial"/>
              </w:rPr>
              <w:t>Average Fair Rent</w:t>
            </w:r>
          </w:p>
        </w:tc>
        <w:tc>
          <w:tcPr>
            <w:tcW w:w="295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D2F6C" w:rsidRPr="003B1E4C" w:rsidRDefault="00ED2F6C" w:rsidP="00E67990">
            <w:pPr>
              <w:jc w:val="center"/>
              <w:rPr>
                <w:rFonts w:ascii="Arial" w:hAnsi="Arial" w:cs="Arial"/>
              </w:rPr>
            </w:pPr>
            <w:r w:rsidRPr="003B1E4C">
              <w:rPr>
                <w:rFonts w:ascii="Arial" w:hAnsi="Arial" w:cs="Arial"/>
              </w:rPr>
              <w:t>Average Assured Rent</w:t>
            </w:r>
          </w:p>
        </w:tc>
      </w:tr>
      <w:tr w:rsidR="00C41047" w:rsidRPr="003B1E4C" w:rsidTr="00E6799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047" w:rsidRPr="003B1E4C" w:rsidRDefault="00C41047" w:rsidP="00C41047">
            <w:pPr>
              <w:jc w:val="center"/>
              <w:rPr>
                <w:rFonts w:ascii="Arial" w:hAnsi="Arial" w:cs="Arial"/>
              </w:rPr>
            </w:pPr>
            <w:r w:rsidRPr="003B1E4C">
              <w:rPr>
                <w:rFonts w:ascii="Arial" w:hAnsi="Arial" w:cs="Arial"/>
              </w:rPr>
              <w:t>1</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C41047" w:rsidP="00C41047">
            <w:pPr>
              <w:rPr>
                <w:rFonts w:ascii="Arial" w:hAnsi="Arial" w:cs="Arial"/>
                <w:sz w:val="20"/>
                <w:szCs w:val="20"/>
                <w:lang w:eastAsia="en-GB"/>
              </w:rPr>
            </w:pPr>
            <w:r w:rsidRPr="003B1E4C">
              <w:rPr>
                <w:rFonts w:ascii="Arial" w:hAnsi="Arial" w:cs="Arial"/>
                <w:sz w:val="20"/>
                <w:szCs w:val="20"/>
                <w:lang w:eastAsia="en-GB"/>
              </w:rPr>
              <w:t>N/A</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C41047" w:rsidP="00636CF3">
            <w:pPr>
              <w:rPr>
                <w:rFonts w:ascii="Arial" w:hAnsi="Arial" w:cs="Arial"/>
                <w:sz w:val="20"/>
                <w:szCs w:val="20"/>
                <w:lang w:eastAsia="en-GB"/>
              </w:rPr>
            </w:pPr>
            <w:r w:rsidRPr="003B1E4C">
              <w:rPr>
                <w:rFonts w:ascii="Arial" w:hAnsi="Arial" w:cs="Arial"/>
                <w:sz w:val="20"/>
                <w:szCs w:val="20"/>
                <w:lang w:eastAsia="en-GB"/>
              </w:rPr>
              <w:t>£7</w:t>
            </w:r>
            <w:r w:rsidR="00636CF3">
              <w:rPr>
                <w:rFonts w:ascii="Arial" w:hAnsi="Arial" w:cs="Arial"/>
                <w:sz w:val="20"/>
                <w:szCs w:val="20"/>
                <w:lang w:eastAsia="en-GB"/>
              </w:rPr>
              <w:t>3.76</w:t>
            </w:r>
          </w:p>
        </w:tc>
      </w:tr>
      <w:tr w:rsidR="00C41047" w:rsidRPr="003B1E4C" w:rsidTr="00E6799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047" w:rsidRPr="003B1E4C" w:rsidRDefault="00C41047" w:rsidP="00C41047">
            <w:pPr>
              <w:jc w:val="center"/>
              <w:rPr>
                <w:rFonts w:ascii="Arial" w:hAnsi="Arial" w:cs="Arial"/>
              </w:rPr>
            </w:pPr>
            <w:r w:rsidRPr="003B1E4C">
              <w:rPr>
                <w:rFonts w:ascii="Arial" w:hAnsi="Arial" w:cs="Arial"/>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636CF3" w:rsidP="00C41047">
            <w:pPr>
              <w:rPr>
                <w:rFonts w:ascii="Arial" w:hAnsi="Arial" w:cs="Arial"/>
                <w:sz w:val="20"/>
                <w:szCs w:val="20"/>
                <w:lang w:eastAsia="en-GB"/>
              </w:rPr>
            </w:pPr>
            <w:r>
              <w:rPr>
                <w:rFonts w:ascii="Arial" w:hAnsi="Arial" w:cs="Arial"/>
                <w:sz w:val="20"/>
                <w:szCs w:val="20"/>
                <w:lang w:eastAsia="en-GB"/>
              </w:rPr>
              <w:t>N/A</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C41047" w:rsidP="00636CF3">
            <w:pPr>
              <w:rPr>
                <w:rFonts w:ascii="Arial" w:hAnsi="Arial" w:cs="Arial"/>
                <w:sz w:val="20"/>
                <w:szCs w:val="20"/>
                <w:lang w:eastAsia="en-GB"/>
              </w:rPr>
            </w:pPr>
            <w:r w:rsidRPr="003B1E4C">
              <w:rPr>
                <w:rFonts w:ascii="Arial" w:hAnsi="Arial" w:cs="Arial"/>
                <w:sz w:val="20"/>
                <w:szCs w:val="20"/>
                <w:lang w:eastAsia="en-GB"/>
              </w:rPr>
              <w:t>£8</w:t>
            </w:r>
            <w:r w:rsidR="00636CF3">
              <w:rPr>
                <w:rFonts w:ascii="Arial" w:hAnsi="Arial" w:cs="Arial"/>
                <w:sz w:val="20"/>
                <w:szCs w:val="20"/>
                <w:lang w:eastAsia="en-GB"/>
              </w:rPr>
              <w:t>2.81</w:t>
            </w:r>
          </w:p>
        </w:tc>
      </w:tr>
      <w:tr w:rsidR="00C41047" w:rsidRPr="003B1E4C" w:rsidTr="00E6799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047" w:rsidRPr="003B1E4C" w:rsidRDefault="00C41047" w:rsidP="00C41047">
            <w:pPr>
              <w:jc w:val="center"/>
              <w:rPr>
                <w:rFonts w:ascii="Arial" w:hAnsi="Arial" w:cs="Arial"/>
              </w:rPr>
            </w:pPr>
            <w:r w:rsidRPr="003B1E4C">
              <w:rPr>
                <w:rFonts w:ascii="Arial" w:hAnsi="Arial" w:cs="Arial"/>
              </w:rPr>
              <w:t>3</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C41047" w:rsidP="00636CF3">
            <w:pPr>
              <w:rPr>
                <w:rFonts w:ascii="Arial" w:hAnsi="Arial" w:cs="Arial"/>
                <w:sz w:val="20"/>
                <w:szCs w:val="20"/>
                <w:lang w:eastAsia="en-GB"/>
              </w:rPr>
            </w:pPr>
            <w:r w:rsidRPr="003B1E4C">
              <w:rPr>
                <w:rFonts w:ascii="Arial" w:hAnsi="Arial" w:cs="Arial"/>
                <w:sz w:val="20"/>
                <w:szCs w:val="20"/>
                <w:lang w:eastAsia="en-GB"/>
              </w:rPr>
              <w:t>£8</w:t>
            </w:r>
            <w:r w:rsidR="00636CF3">
              <w:rPr>
                <w:rFonts w:ascii="Arial" w:hAnsi="Arial" w:cs="Arial"/>
                <w:sz w:val="20"/>
                <w:szCs w:val="20"/>
                <w:lang w:eastAsia="en-GB"/>
              </w:rPr>
              <w:t>7.48</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C41047" w:rsidP="00636CF3">
            <w:pPr>
              <w:rPr>
                <w:rFonts w:ascii="Arial" w:hAnsi="Arial" w:cs="Arial"/>
                <w:sz w:val="20"/>
                <w:szCs w:val="20"/>
                <w:lang w:eastAsia="en-GB"/>
              </w:rPr>
            </w:pPr>
            <w:r w:rsidRPr="003B1E4C">
              <w:rPr>
                <w:rFonts w:ascii="Arial" w:hAnsi="Arial" w:cs="Arial"/>
                <w:sz w:val="20"/>
                <w:szCs w:val="20"/>
                <w:lang w:eastAsia="en-GB"/>
              </w:rPr>
              <w:t>£9</w:t>
            </w:r>
            <w:r w:rsidR="00636CF3">
              <w:rPr>
                <w:rFonts w:ascii="Arial" w:hAnsi="Arial" w:cs="Arial"/>
                <w:sz w:val="20"/>
                <w:szCs w:val="20"/>
                <w:lang w:eastAsia="en-GB"/>
              </w:rPr>
              <w:t>2.15</w:t>
            </w:r>
          </w:p>
        </w:tc>
      </w:tr>
      <w:tr w:rsidR="00C41047" w:rsidRPr="003B1E4C" w:rsidTr="009C5D36">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047" w:rsidRPr="003B1E4C" w:rsidRDefault="00C41047" w:rsidP="00C41047">
            <w:pPr>
              <w:jc w:val="center"/>
              <w:rPr>
                <w:rFonts w:ascii="Arial" w:hAnsi="Arial" w:cs="Arial"/>
              </w:rPr>
            </w:pPr>
            <w:r w:rsidRPr="003B1E4C">
              <w:rPr>
                <w:rFonts w:ascii="Arial" w:hAnsi="Arial" w:cs="Arial"/>
              </w:rPr>
              <w:t>4</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C41047" w:rsidP="00C41047">
            <w:pPr>
              <w:rPr>
                <w:rFonts w:ascii="Arial" w:hAnsi="Arial" w:cs="Arial"/>
                <w:sz w:val="20"/>
                <w:szCs w:val="20"/>
                <w:lang w:eastAsia="en-GB"/>
              </w:rPr>
            </w:pPr>
            <w:r w:rsidRPr="003B1E4C">
              <w:rPr>
                <w:rFonts w:ascii="Arial" w:hAnsi="Arial" w:cs="Arial"/>
                <w:sz w:val="20"/>
                <w:szCs w:val="20"/>
                <w:lang w:eastAsia="en-GB"/>
              </w:rPr>
              <w:t>N/A</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bottom"/>
          </w:tcPr>
          <w:p w:rsidR="00C41047" w:rsidRPr="003B1E4C" w:rsidRDefault="00C41047" w:rsidP="00636CF3">
            <w:pPr>
              <w:rPr>
                <w:rFonts w:ascii="Arial" w:hAnsi="Arial" w:cs="Arial"/>
                <w:sz w:val="20"/>
                <w:szCs w:val="20"/>
                <w:lang w:eastAsia="en-GB"/>
              </w:rPr>
            </w:pPr>
            <w:r w:rsidRPr="003B1E4C">
              <w:rPr>
                <w:rFonts w:ascii="Arial" w:hAnsi="Arial" w:cs="Arial"/>
                <w:sz w:val="20"/>
                <w:szCs w:val="20"/>
                <w:lang w:eastAsia="en-GB"/>
              </w:rPr>
              <w:t>£10</w:t>
            </w:r>
            <w:r w:rsidR="00636CF3">
              <w:rPr>
                <w:rFonts w:ascii="Arial" w:hAnsi="Arial" w:cs="Arial"/>
                <w:sz w:val="20"/>
                <w:szCs w:val="20"/>
                <w:lang w:eastAsia="en-GB"/>
              </w:rPr>
              <w:t>2.66</w:t>
            </w:r>
          </w:p>
        </w:tc>
      </w:tr>
      <w:tr w:rsidR="00C41047" w:rsidRPr="003B1E4C" w:rsidTr="009C5D36">
        <w:tc>
          <w:tcPr>
            <w:tcW w:w="295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1047" w:rsidRPr="003B1E4C" w:rsidRDefault="00C41047" w:rsidP="00C41047">
            <w:pPr>
              <w:jc w:val="center"/>
              <w:rPr>
                <w:rFonts w:ascii="Arial" w:hAnsi="Arial" w:cs="Arial"/>
              </w:rPr>
            </w:pPr>
            <w:r w:rsidRPr="003B1E4C">
              <w:rPr>
                <w:rFonts w:ascii="Arial" w:hAnsi="Arial" w:cs="Arial"/>
              </w:rPr>
              <w:t>6</w:t>
            </w:r>
          </w:p>
        </w:tc>
        <w:tc>
          <w:tcPr>
            <w:tcW w:w="29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tcPr>
          <w:p w:rsidR="00C41047" w:rsidRPr="003B1E4C" w:rsidRDefault="00C41047" w:rsidP="00C41047">
            <w:pPr>
              <w:rPr>
                <w:rFonts w:ascii="Arial" w:hAnsi="Arial" w:cs="Arial"/>
                <w:sz w:val="20"/>
                <w:szCs w:val="20"/>
                <w:lang w:eastAsia="en-GB"/>
              </w:rPr>
            </w:pPr>
            <w:r w:rsidRPr="003B1E4C">
              <w:rPr>
                <w:rFonts w:ascii="Arial" w:hAnsi="Arial" w:cs="Arial"/>
                <w:sz w:val="20"/>
                <w:szCs w:val="20"/>
                <w:lang w:eastAsia="en-GB"/>
              </w:rPr>
              <w:t>N/A</w:t>
            </w:r>
          </w:p>
        </w:tc>
        <w:tc>
          <w:tcPr>
            <w:tcW w:w="29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tcPr>
          <w:p w:rsidR="00C41047" w:rsidRPr="003B1E4C" w:rsidRDefault="00C41047" w:rsidP="00636CF3">
            <w:pPr>
              <w:rPr>
                <w:rFonts w:ascii="Arial" w:hAnsi="Arial" w:cs="Arial"/>
                <w:sz w:val="20"/>
                <w:szCs w:val="20"/>
                <w:lang w:eastAsia="en-GB"/>
              </w:rPr>
            </w:pPr>
            <w:r w:rsidRPr="003B1E4C">
              <w:rPr>
                <w:rFonts w:ascii="Arial" w:hAnsi="Arial" w:cs="Arial"/>
                <w:sz w:val="20"/>
                <w:szCs w:val="20"/>
                <w:lang w:eastAsia="en-GB"/>
              </w:rPr>
              <w:t>£12</w:t>
            </w:r>
            <w:r w:rsidR="00636CF3">
              <w:rPr>
                <w:rFonts w:ascii="Arial" w:hAnsi="Arial" w:cs="Arial"/>
                <w:sz w:val="20"/>
                <w:szCs w:val="20"/>
                <w:lang w:eastAsia="en-GB"/>
              </w:rPr>
              <w:t>6.69</w:t>
            </w:r>
          </w:p>
        </w:tc>
      </w:tr>
    </w:tbl>
    <w:p w:rsidR="00ED2F6C" w:rsidRPr="003B1E4C" w:rsidRDefault="00ED2F6C" w:rsidP="00ED2F6C">
      <w:pPr>
        <w:rPr>
          <w:rFonts w:ascii="Arial" w:hAnsi="Arial" w:cs="Arial"/>
        </w:rPr>
      </w:pPr>
      <w:r w:rsidRPr="003B1E4C">
        <w:rPr>
          <w:rFonts w:ascii="Arial" w:hAnsi="Arial" w:cs="Arial"/>
        </w:rPr>
        <w:t>Where tenants pay service charges in addition to their rent, these will relate to the actual cost of providing those services with any surpluses or deficits carried forward into the next financial year.</w:t>
      </w:r>
    </w:p>
    <w:p w:rsidR="00C41047" w:rsidRPr="003B1E4C" w:rsidRDefault="00C41047" w:rsidP="009F7CD3">
      <w:pPr>
        <w:tabs>
          <w:tab w:val="left" w:pos="6600"/>
        </w:tabs>
        <w:rPr>
          <w:rFonts w:ascii="Arial" w:hAnsi="Arial" w:cs="Arial"/>
        </w:rPr>
      </w:pPr>
    </w:p>
    <w:tbl>
      <w:tblPr>
        <w:tblpPr w:leftFromText="180" w:rightFromText="180" w:vertAnchor="text" w:horzAnchor="margin" w:tblpY="9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71C59" w:rsidRPr="003B1E4C" w:rsidTr="00D71C59">
        <w:tc>
          <w:tcPr>
            <w:tcW w:w="2952" w:type="dxa"/>
            <w:shd w:val="clear" w:color="auto" w:fill="C0C0C0"/>
          </w:tcPr>
          <w:p w:rsidR="00D71C59" w:rsidRPr="003B1E4C" w:rsidRDefault="00D71C59" w:rsidP="00D71C59">
            <w:pPr>
              <w:jc w:val="center"/>
              <w:rPr>
                <w:rFonts w:ascii="Arial" w:hAnsi="Arial" w:cs="Arial"/>
              </w:rPr>
            </w:pPr>
          </w:p>
        </w:tc>
        <w:tc>
          <w:tcPr>
            <w:tcW w:w="2952" w:type="dxa"/>
            <w:shd w:val="clear" w:color="auto" w:fill="C0C0C0"/>
          </w:tcPr>
          <w:p w:rsidR="00D71C59" w:rsidRPr="003B1E4C" w:rsidRDefault="00636CF3" w:rsidP="00D71C59">
            <w:pPr>
              <w:jc w:val="center"/>
              <w:rPr>
                <w:rFonts w:ascii="Arial" w:hAnsi="Arial" w:cs="Arial"/>
              </w:rPr>
            </w:pPr>
            <w:r>
              <w:rPr>
                <w:rFonts w:ascii="Arial" w:hAnsi="Arial" w:cs="Arial"/>
              </w:rPr>
              <w:t>At 31 March 2017</w:t>
            </w:r>
          </w:p>
        </w:tc>
        <w:tc>
          <w:tcPr>
            <w:tcW w:w="2952" w:type="dxa"/>
            <w:shd w:val="clear" w:color="auto" w:fill="C0C0C0"/>
          </w:tcPr>
          <w:p w:rsidR="00D71C59" w:rsidRPr="003B1E4C" w:rsidRDefault="00D71C59" w:rsidP="00636CF3">
            <w:pPr>
              <w:jc w:val="center"/>
              <w:rPr>
                <w:rFonts w:ascii="Arial" w:hAnsi="Arial" w:cs="Arial"/>
              </w:rPr>
            </w:pPr>
            <w:r w:rsidRPr="003B1E4C">
              <w:rPr>
                <w:rFonts w:ascii="Arial" w:hAnsi="Arial" w:cs="Arial"/>
              </w:rPr>
              <w:t>At 31 March 201</w:t>
            </w:r>
            <w:r w:rsidR="001851F8">
              <w:rPr>
                <w:rFonts w:ascii="Arial" w:hAnsi="Arial" w:cs="Arial"/>
              </w:rPr>
              <w:t>8</w:t>
            </w:r>
          </w:p>
        </w:tc>
      </w:tr>
      <w:tr w:rsidR="00D71C59" w:rsidRPr="003B1E4C" w:rsidTr="00D71C59">
        <w:tc>
          <w:tcPr>
            <w:tcW w:w="2952" w:type="dxa"/>
            <w:shd w:val="clear" w:color="auto" w:fill="C0C0C0"/>
          </w:tcPr>
          <w:p w:rsidR="00D71C59" w:rsidRPr="003B1E4C" w:rsidRDefault="00D71C59" w:rsidP="00D71C59">
            <w:pPr>
              <w:rPr>
                <w:rFonts w:ascii="Arial" w:hAnsi="Arial" w:cs="Arial"/>
              </w:rPr>
            </w:pPr>
            <w:r w:rsidRPr="003B1E4C">
              <w:rPr>
                <w:rFonts w:ascii="Arial" w:hAnsi="Arial" w:cs="Arial"/>
              </w:rPr>
              <w:t>Arrears due to outstanding Housing Benefit</w:t>
            </w:r>
          </w:p>
        </w:tc>
        <w:tc>
          <w:tcPr>
            <w:tcW w:w="2952" w:type="dxa"/>
            <w:shd w:val="clear" w:color="auto" w:fill="auto"/>
          </w:tcPr>
          <w:p w:rsidR="00D71C59" w:rsidRPr="003B1E4C" w:rsidRDefault="00636CF3" w:rsidP="00D71C59">
            <w:pPr>
              <w:jc w:val="both"/>
              <w:rPr>
                <w:rFonts w:ascii="Arial" w:hAnsi="Arial" w:cs="Arial"/>
              </w:rPr>
            </w:pPr>
            <w:r>
              <w:rPr>
                <w:rFonts w:ascii="Arial" w:hAnsi="Arial" w:cs="Arial"/>
              </w:rPr>
              <w:t>£4,035</w:t>
            </w:r>
          </w:p>
        </w:tc>
        <w:tc>
          <w:tcPr>
            <w:tcW w:w="2952" w:type="dxa"/>
            <w:shd w:val="clear" w:color="auto" w:fill="auto"/>
          </w:tcPr>
          <w:p w:rsidR="00D71C59" w:rsidRPr="003B1E4C" w:rsidRDefault="00636CF3" w:rsidP="00636CF3">
            <w:pPr>
              <w:jc w:val="both"/>
              <w:rPr>
                <w:rFonts w:ascii="Arial" w:hAnsi="Arial" w:cs="Arial"/>
              </w:rPr>
            </w:pPr>
            <w:r>
              <w:rPr>
                <w:rFonts w:ascii="Arial" w:hAnsi="Arial" w:cs="Arial"/>
              </w:rPr>
              <w:t>£ 5,076</w:t>
            </w:r>
            <w:r w:rsidR="00E67990">
              <w:rPr>
                <w:rFonts w:ascii="Arial" w:hAnsi="Arial" w:cs="Arial"/>
              </w:rPr>
              <w:t>.</w:t>
            </w:r>
          </w:p>
        </w:tc>
      </w:tr>
      <w:tr w:rsidR="00D71C59" w:rsidRPr="003B1E4C" w:rsidTr="00D71C59">
        <w:tc>
          <w:tcPr>
            <w:tcW w:w="2952" w:type="dxa"/>
            <w:shd w:val="clear" w:color="auto" w:fill="C0C0C0"/>
          </w:tcPr>
          <w:p w:rsidR="00D71C59" w:rsidRPr="003B1E4C" w:rsidRDefault="00D71C59" w:rsidP="00D71C59">
            <w:pPr>
              <w:rPr>
                <w:rFonts w:ascii="Arial" w:hAnsi="Arial" w:cs="Arial"/>
              </w:rPr>
            </w:pPr>
            <w:r w:rsidRPr="003B1E4C">
              <w:rPr>
                <w:rFonts w:ascii="Arial" w:hAnsi="Arial" w:cs="Arial"/>
              </w:rPr>
              <w:t>Tenant arrears</w:t>
            </w:r>
          </w:p>
        </w:tc>
        <w:tc>
          <w:tcPr>
            <w:tcW w:w="2952" w:type="dxa"/>
            <w:shd w:val="clear" w:color="auto" w:fill="auto"/>
          </w:tcPr>
          <w:p w:rsidR="00D71C59" w:rsidRPr="003B1E4C" w:rsidRDefault="00636CF3" w:rsidP="00D71C59">
            <w:pPr>
              <w:jc w:val="both"/>
              <w:rPr>
                <w:rFonts w:ascii="Arial" w:hAnsi="Arial" w:cs="Arial"/>
              </w:rPr>
            </w:pPr>
            <w:r>
              <w:rPr>
                <w:rFonts w:ascii="Arial" w:hAnsi="Arial" w:cs="Arial"/>
              </w:rPr>
              <w:t>£27,817</w:t>
            </w:r>
          </w:p>
        </w:tc>
        <w:tc>
          <w:tcPr>
            <w:tcW w:w="2952" w:type="dxa"/>
            <w:shd w:val="clear" w:color="auto" w:fill="auto"/>
          </w:tcPr>
          <w:p w:rsidR="00D71C59" w:rsidRPr="003B1E4C" w:rsidRDefault="00636CF3" w:rsidP="00D71C59">
            <w:pPr>
              <w:jc w:val="both"/>
              <w:rPr>
                <w:rFonts w:ascii="Arial" w:hAnsi="Arial" w:cs="Arial"/>
              </w:rPr>
            </w:pPr>
            <w:r>
              <w:rPr>
                <w:rFonts w:ascii="Arial" w:hAnsi="Arial" w:cs="Arial"/>
              </w:rPr>
              <w:t>£24,547</w:t>
            </w:r>
            <w:r w:rsidR="00E67990">
              <w:rPr>
                <w:rFonts w:ascii="Arial" w:hAnsi="Arial" w:cs="Arial"/>
              </w:rPr>
              <w:t>.</w:t>
            </w:r>
          </w:p>
        </w:tc>
      </w:tr>
      <w:tr w:rsidR="00D71C59" w:rsidRPr="003B1E4C" w:rsidTr="00D71C59">
        <w:tc>
          <w:tcPr>
            <w:tcW w:w="2952" w:type="dxa"/>
            <w:shd w:val="clear" w:color="auto" w:fill="C0C0C0"/>
          </w:tcPr>
          <w:p w:rsidR="00D71C59" w:rsidRPr="003B1E4C" w:rsidRDefault="00D71C59" w:rsidP="00D71C59">
            <w:pPr>
              <w:rPr>
                <w:rFonts w:ascii="Arial" w:hAnsi="Arial" w:cs="Arial"/>
                <w:b/>
              </w:rPr>
            </w:pPr>
            <w:r w:rsidRPr="003B1E4C">
              <w:rPr>
                <w:rFonts w:ascii="Arial" w:hAnsi="Arial" w:cs="Arial"/>
                <w:b/>
              </w:rPr>
              <w:t xml:space="preserve">Total </w:t>
            </w:r>
          </w:p>
        </w:tc>
        <w:tc>
          <w:tcPr>
            <w:tcW w:w="2952" w:type="dxa"/>
            <w:shd w:val="clear" w:color="auto" w:fill="auto"/>
          </w:tcPr>
          <w:p w:rsidR="00D71C59" w:rsidRPr="003B1E4C" w:rsidRDefault="00636CF3" w:rsidP="00D71C59">
            <w:pPr>
              <w:jc w:val="both"/>
              <w:rPr>
                <w:rFonts w:ascii="Arial" w:hAnsi="Arial" w:cs="Arial"/>
                <w:b/>
              </w:rPr>
            </w:pPr>
            <w:r>
              <w:rPr>
                <w:rFonts w:ascii="Arial" w:hAnsi="Arial" w:cs="Arial"/>
                <w:b/>
              </w:rPr>
              <w:t>£23,782</w:t>
            </w:r>
          </w:p>
        </w:tc>
        <w:tc>
          <w:tcPr>
            <w:tcW w:w="2952" w:type="dxa"/>
            <w:shd w:val="clear" w:color="auto" w:fill="auto"/>
          </w:tcPr>
          <w:p w:rsidR="00D71C59" w:rsidRPr="003B1E4C" w:rsidRDefault="00636CF3" w:rsidP="00636CF3">
            <w:pPr>
              <w:jc w:val="both"/>
              <w:rPr>
                <w:rFonts w:ascii="Arial" w:hAnsi="Arial" w:cs="Arial"/>
                <w:b/>
              </w:rPr>
            </w:pPr>
            <w:r>
              <w:rPr>
                <w:rFonts w:ascii="Arial" w:hAnsi="Arial" w:cs="Arial"/>
                <w:b/>
              </w:rPr>
              <w:t>£19,471</w:t>
            </w:r>
          </w:p>
        </w:tc>
      </w:tr>
    </w:tbl>
    <w:p w:rsidR="00D71C59" w:rsidRDefault="00D71C59" w:rsidP="009F7CD3">
      <w:pPr>
        <w:tabs>
          <w:tab w:val="left" w:pos="6600"/>
        </w:tabs>
        <w:rPr>
          <w:rFonts w:ascii="Arial" w:hAnsi="Arial" w:cs="Arial"/>
        </w:rPr>
      </w:pPr>
      <w:r w:rsidRPr="003B1E4C">
        <w:rPr>
          <w:rFonts w:ascii="Arial" w:hAnsi="Arial" w:cs="Arial"/>
        </w:rPr>
        <w:t>Controlling arrears remains one of the Association’s top priorities and the Board receives regular reports on progress. Performance in the past year is detailed below</w:t>
      </w:r>
      <w:r>
        <w:rPr>
          <w:rFonts w:ascii="Arial" w:hAnsi="Arial" w:cs="Arial"/>
        </w:rPr>
        <w:t>:</w:t>
      </w:r>
    </w:p>
    <w:p w:rsidR="00D71C59" w:rsidRPr="003B1E4C" w:rsidRDefault="00D71C59" w:rsidP="009F7CD3">
      <w:pPr>
        <w:tabs>
          <w:tab w:val="left" w:pos="6600"/>
        </w:tabs>
        <w:rPr>
          <w:rFonts w:ascii="Arial" w:hAnsi="Arial" w:cs="Arial"/>
        </w:rPr>
      </w:pPr>
    </w:p>
    <w:p w:rsidR="00035FB6" w:rsidRDefault="00035FB6" w:rsidP="009F7CD3">
      <w:pPr>
        <w:tabs>
          <w:tab w:val="left" w:pos="6600"/>
        </w:tabs>
        <w:rPr>
          <w:rFonts w:ascii="Arial" w:hAnsi="Arial" w:cs="Arial"/>
        </w:rPr>
      </w:pPr>
    </w:p>
    <w:p w:rsidR="009222A8" w:rsidRPr="003B1E4C" w:rsidRDefault="009222A8" w:rsidP="009F7CD3">
      <w:pPr>
        <w:tabs>
          <w:tab w:val="left" w:pos="6600"/>
        </w:tabs>
        <w:rPr>
          <w:rFonts w:ascii="Arial" w:hAnsi="Arial" w:cs="Arial"/>
          <w:b/>
        </w:rPr>
      </w:pPr>
      <w:r w:rsidRPr="003B1E4C">
        <w:rPr>
          <w:rFonts w:ascii="Arial" w:hAnsi="Arial" w:cs="Arial"/>
          <w:b/>
        </w:rPr>
        <w:t>Tenancy Management</w:t>
      </w:r>
    </w:p>
    <w:p w:rsidR="009222A8" w:rsidRPr="003B1E4C" w:rsidRDefault="009222A8" w:rsidP="009F7CD3">
      <w:pPr>
        <w:tabs>
          <w:tab w:val="left" w:pos="6600"/>
        </w:tabs>
        <w:rPr>
          <w:rFonts w:ascii="Arial" w:hAnsi="Arial" w:cs="Arial"/>
          <w:b/>
        </w:rPr>
      </w:pPr>
    </w:p>
    <w:p w:rsidR="009222A8" w:rsidRPr="003B1E4C" w:rsidRDefault="009222A8" w:rsidP="009F7CD3">
      <w:pPr>
        <w:tabs>
          <w:tab w:val="left" w:pos="6600"/>
        </w:tabs>
        <w:rPr>
          <w:rFonts w:ascii="Arial" w:hAnsi="Arial" w:cs="Arial"/>
        </w:rPr>
      </w:pPr>
      <w:r w:rsidRPr="003B1E4C">
        <w:rPr>
          <w:rFonts w:ascii="Arial" w:hAnsi="Arial" w:cs="Arial"/>
        </w:rPr>
        <w:t>Steve Biko HA takes its obligations as a landlord very seriously and respects tenant’s rights.  In return, we expect tenants to comply with the conditions set out in their tenancy agreements.</w:t>
      </w:r>
    </w:p>
    <w:p w:rsidR="009222A8" w:rsidRPr="003B1E4C" w:rsidRDefault="009222A8" w:rsidP="009F7CD3">
      <w:pPr>
        <w:tabs>
          <w:tab w:val="left" w:pos="6600"/>
        </w:tabs>
        <w:rPr>
          <w:rFonts w:ascii="Arial" w:hAnsi="Arial" w:cs="Arial"/>
        </w:rPr>
      </w:pPr>
    </w:p>
    <w:p w:rsidR="009222A8" w:rsidRPr="003B1E4C" w:rsidRDefault="009222A8" w:rsidP="009F7CD3">
      <w:pPr>
        <w:tabs>
          <w:tab w:val="left" w:pos="6600"/>
        </w:tabs>
        <w:rPr>
          <w:rFonts w:ascii="Arial" w:hAnsi="Arial" w:cs="Arial"/>
        </w:rPr>
      </w:pPr>
      <w:r w:rsidRPr="003B1E4C">
        <w:rPr>
          <w:rFonts w:ascii="Arial" w:hAnsi="Arial" w:cs="Arial"/>
        </w:rPr>
        <w:t>Where breaches of tenancy conditions occur, we work with tenants to try to resolve problems and use possession proceedings and evictions as a last resort.  We also liaise with any agencies offering support to tenants and direct people to appropriate advice agencies where this might help.</w:t>
      </w:r>
    </w:p>
    <w:p w:rsidR="009222A8" w:rsidRPr="003B1E4C" w:rsidRDefault="009222A8" w:rsidP="009F7CD3">
      <w:pPr>
        <w:tabs>
          <w:tab w:val="left" w:pos="6600"/>
        </w:tabs>
        <w:rPr>
          <w:rFonts w:ascii="Arial" w:hAnsi="Arial" w:cs="Arial"/>
        </w:rPr>
      </w:pPr>
    </w:p>
    <w:p w:rsidR="00C41047" w:rsidRPr="003B1E4C" w:rsidRDefault="00C41047" w:rsidP="009F7CD3">
      <w:pPr>
        <w:tabs>
          <w:tab w:val="left" w:pos="6600"/>
        </w:tabs>
        <w:rPr>
          <w:rFonts w:ascii="Arial" w:hAnsi="Arial" w:cs="Arial"/>
        </w:rPr>
      </w:pPr>
    </w:p>
    <w:p w:rsidR="009222A8" w:rsidRPr="003B1E4C" w:rsidRDefault="009222A8" w:rsidP="009F7CD3">
      <w:pPr>
        <w:tabs>
          <w:tab w:val="left" w:pos="6600"/>
        </w:tabs>
        <w:rPr>
          <w:rFonts w:ascii="Arial" w:hAnsi="Arial" w:cs="Arial"/>
          <w:b/>
        </w:rPr>
      </w:pPr>
      <w:r w:rsidRPr="003B1E4C">
        <w:rPr>
          <w:rFonts w:ascii="Arial" w:hAnsi="Arial" w:cs="Arial"/>
          <w:b/>
        </w:rPr>
        <w:t>Our work in the Neighbourhood</w:t>
      </w:r>
    </w:p>
    <w:p w:rsidR="009222A8" w:rsidRPr="003B1E4C" w:rsidRDefault="009222A8" w:rsidP="009F7CD3">
      <w:pPr>
        <w:tabs>
          <w:tab w:val="left" w:pos="6600"/>
        </w:tabs>
        <w:rPr>
          <w:rFonts w:ascii="Arial" w:hAnsi="Arial" w:cs="Arial"/>
          <w:b/>
        </w:rPr>
      </w:pPr>
    </w:p>
    <w:p w:rsidR="00D37C11" w:rsidRPr="003B1E4C" w:rsidRDefault="009222A8" w:rsidP="009F7CD3">
      <w:pPr>
        <w:tabs>
          <w:tab w:val="left" w:pos="6600"/>
        </w:tabs>
        <w:rPr>
          <w:rFonts w:ascii="Arial" w:hAnsi="Arial" w:cs="Arial"/>
        </w:rPr>
      </w:pPr>
      <w:r w:rsidRPr="003B1E4C">
        <w:rPr>
          <w:rFonts w:ascii="Arial" w:hAnsi="Arial" w:cs="Arial"/>
        </w:rPr>
        <w:t>As a locally based organisation, we are ideally placed to make a positive contribution to our neighbourhood.  We actively participate in the City’s regeneration and neighbourhood structures and work with many community organisations</w:t>
      </w:r>
      <w:r w:rsidR="000B5B6B" w:rsidRPr="003B1E4C">
        <w:rPr>
          <w:rFonts w:ascii="Arial" w:hAnsi="Arial" w:cs="Arial"/>
        </w:rPr>
        <w:t>,</w:t>
      </w:r>
      <w:r w:rsidRPr="003B1E4C">
        <w:rPr>
          <w:rFonts w:ascii="Arial" w:hAnsi="Arial" w:cs="Arial"/>
        </w:rPr>
        <w:t xml:space="preserve"> with the </w:t>
      </w:r>
      <w:r w:rsidR="006C247A" w:rsidRPr="003B1E4C">
        <w:rPr>
          <w:rFonts w:ascii="Arial" w:hAnsi="Arial" w:cs="Arial"/>
        </w:rPr>
        <w:t>intent of making the neighbourho</w:t>
      </w:r>
      <w:r w:rsidRPr="003B1E4C">
        <w:rPr>
          <w:rFonts w:ascii="Arial" w:hAnsi="Arial" w:cs="Arial"/>
        </w:rPr>
        <w:t xml:space="preserve">ods where </w:t>
      </w:r>
      <w:r w:rsidR="006C247A" w:rsidRPr="003B1E4C">
        <w:rPr>
          <w:rFonts w:ascii="Arial" w:hAnsi="Arial" w:cs="Arial"/>
        </w:rPr>
        <w:t>our tenants live a better place</w:t>
      </w:r>
      <w:r w:rsidR="000B5B6B" w:rsidRPr="003B1E4C">
        <w:rPr>
          <w:rFonts w:ascii="Arial" w:hAnsi="Arial" w:cs="Arial"/>
        </w:rPr>
        <w:t>;</w:t>
      </w:r>
      <w:r w:rsidR="006C247A" w:rsidRPr="003B1E4C">
        <w:rPr>
          <w:rFonts w:ascii="Arial" w:hAnsi="Arial" w:cs="Arial"/>
        </w:rPr>
        <w:t xml:space="preserve"> for </w:t>
      </w:r>
      <w:r w:rsidR="009A71CF" w:rsidRPr="003B1E4C">
        <w:rPr>
          <w:rFonts w:ascii="Arial" w:hAnsi="Arial" w:cs="Arial"/>
        </w:rPr>
        <w:t>example,</w:t>
      </w:r>
      <w:r w:rsidR="006C247A" w:rsidRPr="003B1E4C">
        <w:rPr>
          <w:rFonts w:ascii="Arial" w:hAnsi="Arial" w:cs="Arial"/>
        </w:rPr>
        <w:t xml:space="preserve"> </w:t>
      </w:r>
      <w:r w:rsidR="00D37C11" w:rsidRPr="003B1E4C">
        <w:rPr>
          <w:rFonts w:ascii="Arial" w:hAnsi="Arial" w:cs="Arial"/>
        </w:rPr>
        <w:t>we actively participate in the Picton Partnership Problem Solving Group and on an annual basis participate in the Love</w:t>
      </w:r>
      <w:r w:rsidR="000B5B6B" w:rsidRPr="003B1E4C">
        <w:rPr>
          <w:rFonts w:ascii="Arial" w:hAnsi="Arial" w:cs="Arial"/>
        </w:rPr>
        <w:t xml:space="preserve"> Lodge</w:t>
      </w:r>
      <w:r w:rsidR="00D37C11" w:rsidRPr="003B1E4C">
        <w:rPr>
          <w:rFonts w:ascii="Arial" w:hAnsi="Arial" w:cs="Arial"/>
        </w:rPr>
        <w:t xml:space="preserve"> Lane Event and </w:t>
      </w:r>
      <w:r w:rsidR="00440C6C" w:rsidRPr="003B1E4C">
        <w:rPr>
          <w:rFonts w:ascii="Arial" w:hAnsi="Arial" w:cs="Arial"/>
        </w:rPr>
        <w:t>clean-up</w:t>
      </w:r>
      <w:r w:rsidR="00D37C11" w:rsidRPr="003B1E4C">
        <w:rPr>
          <w:rFonts w:ascii="Arial" w:hAnsi="Arial" w:cs="Arial"/>
        </w:rPr>
        <w:t xml:space="preserve"> activities.  </w:t>
      </w:r>
    </w:p>
    <w:p w:rsidR="00D37C11" w:rsidRDefault="00D37C11" w:rsidP="009F7CD3">
      <w:pPr>
        <w:tabs>
          <w:tab w:val="left" w:pos="6600"/>
        </w:tabs>
        <w:rPr>
          <w:rFonts w:ascii="Arial" w:hAnsi="Arial" w:cs="Arial"/>
        </w:rPr>
      </w:pPr>
    </w:p>
    <w:p w:rsidR="00E67990" w:rsidRDefault="00E67990" w:rsidP="009F7CD3">
      <w:pPr>
        <w:tabs>
          <w:tab w:val="left" w:pos="6600"/>
        </w:tabs>
        <w:rPr>
          <w:rFonts w:ascii="Arial" w:hAnsi="Arial" w:cs="Arial"/>
        </w:rPr>
      </w:pPr>
      <w:r>
        <w:rPr>
          <w:rFonts w:ascii="Arial" w:hAnsi="Arial" w:cs="Arial"/>
        </w:rPr>
        <w:t>We helped facilitate community discussions following the fatal shooting of a young local man Yusuf Sonko and co-ordinated a community walk for action against guns and knife crime.</w:t>
      </w:r>
    </w:p>
    <w:p w:rsidR="00E67990" w:rsidRDefault="00E67990" w:rsidP="009F7CD3">
      <w:pPr>
        <w:tabs>
          <w:tab w:val="left" w:pos="6600"/>
        </w:tabs>
        <w:rPr>
          <w:rFonts w:ascii="Arial" w:hAnsi="Arial" w:cs="Arial"/>
        </w:rPr>
      </w:pPr>
    </w:p>
    <w:p w:rsidR="00E67990" w:rsidRPr="003B1E4C" w:rsidRDefault="00E67990" w:rsidP="009F7CD3">
      <w:pPr>
        <w:tabs>
          <w:tab w:val="left" w:pos="6600"/>
        </w:tabs>
        <w:rPr>
          <w:rFonts w:ascii="Arial" w:hAnsi="Arial" w:cs="Arial"/>
        </w:rPr>
      </w:pPr>
      <w:r>
        <w:rPr>
          <w:rFonts w:ascii="Arial" w:hAnsi="Arial" w:cs="Arial"/>
        </w:rPr>
        <w:t>We have worked closely with Liverpool City Council and youth organisations in working proactively with young people to engage them in a</w:t>
      </w:r>
      <w:r w:rsidR="008E01E7">
        <w:rPr>
          <w:rFonts w:ascii="Arial" w:hAnsi="Arial" w:cs="Arial"/>
        </w:rPr>
        <w:t>ctivities that work towards developing a positive future for themselves.</w:t>
      </w:r>
    </w:p>
    <w:p w:rsidR="00E67990" w:rsidRDefault="00E67990" w:rsidP="009F7CD3">
      <w:pPr>
        <w:tabs>
          <w:tab w:val="left" w:pos="6600"/>
        </w:tabs>
        <w:rPr>
          <w:rFonts w:ascii="Arial" w:hAnsi="Arial" w:cs="Arial"/>
        </w:rPr>
      </w:pPr>
    </w:p>
    <w:p w:rsidR="006C247A" w:rsidRPr="003B1E4C" w:rsidRDefault="006C247A" w:rsidP="009F7CD3">
      <w:pPr>
        <w:tabs>
          <w:tab w:val="left" w:pos="6600"/>
        </w:tabs>
        <w:rPr>
          <w:rFonts w:ascii="Arial" w:hAnsi="Arial" w:cs="Arial"/>
        </w:rPr>
      </w:pPr>
      <w:r w:rsidRPr="003B1E4C">
        <w:rPr>
          <w:rFonts w:ascii="Arial" w:hAnsi="Arial" w:cs="Arial"/>
        </w:rPr>
        <w:t>We continue to hold “area walkabouts”</w:t>
      </w:r>
      <w:r w:rsidR="000B5B6B" w:rsidRPr="003B1E4C">
        <w:rPr>
          <w:rFonts w:ascii="Arial" w:hAnsi="Arial" w:cs="Arial"/>
        </w:rPr>
        <w:t>,</w:t>
      </w:r>
      <w:r w:rsidRPr="003B1E4C">
        <w:rPr>
          <w:rFonts w:ascii="Arial" w:hAnsi="Arial" w:cs="Arial"/>
        </w:rPr>
        <w:t xml:space="preserve"> where staff will walk around our neighbourhoods and invite tenants to join us and to talk to us about any issues that are of concern.  Staff take this opportunity to knock on doors to speak to our tenants too.</w:t>
      </w:r>
    </w:p>
    <w:p w:rsidR="00D37C11" w:rsidRPr="003B1E4C" w:rsidRDefault="00D37C11" w:rsidP="009F7CD3">
      <w:pPr>
        <w:tabs>
          <w:tab w:val="left" w:pos="6600"/>
        </w:tabs>
        <w:rPr>
          <w:rFonts w:ascii="Arial" w:hAnsi="Arial" w:cs="Arial"/>
        </w:rPr>
      </w:pPr>
    </w:p>
    <w:p w:rsidR="00D37C11" w:rsidRPr="003B1E4C" w:rsidRDefault="00D37C11" w:rsidP="009F7CD3">
      <w:pPr>
        <w:tabs>
          <w:tab w:val="left" w:pos="6600"/>
        </w:tabs>
        <w:rPr>
          <w:rFonts w:ascii="Arial" w:hAnsi="Arial" w:cs="Arial"/>
        </w:rPr>
      </w:pPr>
      <w:r w:rsidRPr="003B1E4C">
        <w:rPr>
          <w:rFonts w:ascii="Arial" w:hAnsi="Arial" w:cs="Arial"/>
        </w:rPr>
        <w:t xml:space="preserve">Our work on diversity </w:t>
      </w:r>
      <w:r w:rsidR="00C41047" w:rsidRPr="003B1E4C">
        <w:rPr>
          <w:rFonts w:ascii="Arial" w:hAnsi="Arial" w:cs="Arial"/>
        </w:rPr>
        <w:t xml:space="preserve">continues to be recognised we were </w:t>
      </w:r>
      <w:r w:rsidR="00673B40">
        <w:rPr>
          <w:rFonts w:ascii="Arial" w:hAnsi="Arial" w:cs="Arial"/>
        </w:rPr>
        <w:t xml:space="preserve">shortlisted for 4 separate awards for our work in diversity and inclusion and we were pleased to win 2 </w:t>
      </w:r>
      <w:r w:rsidR="009A71CF">
        <w:rPr>
          <w:rFonts w:ascii="Arial" w:hAnsi="Arial" w:cs="Arial"/>
        </w:rPr>
        <w:t>awards for</w:t>
      </w:r>
      <w:r w:rsidR="008E01E7">
        <w:rPr>
          <w:rFonts w:ascii="Arial" w:hAnsi="Arial" w:cs="Arial"/>
        </w:rPr>
        <w:t xml:space="preserve"> the</w:t>
      </w:r>
      <w:r w:rsidR="00673B40">
        <w:rPr>
          <w:rFonts w:ascii="Arial" w:hAnsi="Arial" w:cs="Arial"/>
        </w:rPr>
        <w:t xml:space="preserve"> most inspiring housing provider and for the most inspiring community project.</w:t>
      </w:r>
    </w:p>
    <w:p w:rsidR="00440C6C" w:rsidRPr="003B1E4C" w:rsidRDefault="00440C6C" w:rsidP="009F7CD3">
      <w:pPr>
        <w:tabs>
          <w:tab w:val="left" w:pos="6600"/>
        </w:tabs>
        <w:rPr>
          <w:rFonts w:ascii="Arial" w:hAnsi="Arial" w:cs="Arial"/>
          <w:b/>
        </w:rPr>
      </w:pPr>
      <w:r w:rsidRPr="003B1E4C">
        <w:rPr>
          <w:rFonts w:ascii="Arial" w:hAnsi="Arial" w:cs="Arial"/>
          <w:b/>
        </w:rPr>
        <w:lastRenderedPageBreak/>
        <w:t>Providing Value for Money</w:t>
      </w:r>
    </w:p>
    <w:p w:rsidR="00440C6C" w:rsidRPr="00673B40" w:rsidRDefault="00440C6C" w:rsidP="00440C6C">
      <w:pPr>
        <w:rPr>
          <w:rFonts w:ascii="Arial" w:hAnsi="Arial" w:cs="Arial"/>
          <w:sz w:val="22"/>
        </w:rPr>
      </w:pPr>
    </w:p>
    <w:p w:rsidR="00440C6C" w:rsidRPr="00673B40" w:rsidRDefault="00440C6C" w:rsidP="00440C6C">
      <w:pPr>
        <w:rPr>
          <w:rFonts w:ascii="Arial" w:hAnsi="Arial" w:cs="Arial"/>
          <w:sz w:val="22"/>
        </w:rPr>
      </w:pPr>
    </w:p>
    <w:p w:rsidR="00673B40" w:rsidRPr="00673B40" w:rsidRDefault="00673B40" w:rsidP="00673B40">
      <w:pPr>
        <w:rPr>
          <w:rFonts w:ascii="Arial" w:hAnsi="Arial" w:cs="Arial"/>
        </w:rPr>
      </w:pPr>
      <w:r w:rsidRPr="00673B40">
        <w:rPr>
          <w:rFonts w:ascii="Arial" w:hAnsi="Arial" w:cs="Arial"/>
        </w:rPr>
        <w:t>SBHA’s Value for Money Strategy was approved in June 2014, the review and renewal of this strategy was extended from 2017 until after the social housing regulators own review of the Value for Money Standard.  Our Value for Money Strategy will be renewed November 2018.</w:t>
      </w:r>
    </w:p>
    <w:p w:rsidR="00673B40" w:rsidRPr="00673B40" w:rsidRDefault="00673B40" w:rsidP="00673B40">
      <w:pPr>
        <w:rPr>
          <w:rFonts w:ascii="Arial" w:hAnsi="Arial" w:cs="Arial"/>
        </w:rPr>
      </w:pPr>
    </w:p>
    <w:p w:rsidR="00673B40" w:rsidRDefault="00673B40" w:rsidP="00673B40">
      <w:pPr>
        <w:rPr>
          <w:rFonts w:ascii="Arial" w:hAnsi="Arial" w:cs="Arial"/>
        </w:rPr>
      </w:pPr>
      <w:r w:rsidRPr="0033577D">
        <w:rPr>
          <w:rFonts w:ascii="Arial" w:hAnsi="Arial" w:cs="Arial"/>
        </w:rPr>
        <w:t>As a small BME Housing Association achieving Value for Money has been central to the way we work.  The Board and staff team believe that being efficient and effective is crucial to our success in delivering quality services to our tenants.  We are committed to ensuring that we are making the best use of our resources and that our business planning and performance monitoring systems and efficiency mind set aid us in our desire for continuous improvement and to ensure we maximise the efficiency and quality of our services and asset base.</w:t>
      </w:r>
    </w:p>
    <w:p w:rsidR="00673B40" w:rsidRPr="0033577D" w:rsidRDefault="00673B40" w:rsidP="00673B40">
      <w:pPr>
        <w:rPr>
          <w:rFonts w:ascii="Arial" w:hAnsi="Arial" w:cs="Arial"/>
        </w:rPr>
      </w:pPr>
    </w:p>
    <w:p w:rsidR="00673B40" w:rsidRDefault="00673B40" w:rsidP="00673B40">
      <w:pPr>
        <w:rPr>
          <w:rFonts w:ascii="Arial" w:hAnsi="Arial" w:cs="Arial"/>
        </w:rPr>
      </w:pPr>
      <w:r w:rsidRPr="0033577D">
        <w:rPr>
          <w:rFonts w:ascii="Arial" w:hAnsi="Arial" w:cs="Arial"/>
        </w:rPr>
        <w:t>We are in the process of working with our Repairs &amp; Maintenance Managing Agent, South Liverpool Homes (SLH) in delivering our Asset Management Strategy. We are in the process of reviewing the way we appraise the return on assets so that it is done in a consistent way to ensure that we are making the most effective investments in the right properties at the right time.</w:t>
      </w:r>
    </w:p>
    <w:p w:rsidR="00673B40" w:rsidRPr="0033577D" w:rsidRDefault="00673B40" w:rsidP="00673B40">
      <w:pPr>
        <w:rPr>
          <w:rFonts w:ascii="Arial" w:hAnsi="Arial" w:cs="Arial"/>
        </w:rPr>
      </w:pPr>
    </w:p>
    <w:p w:rsidR="00673B40" w:rsidRDefault="00673B40" w:rsidP="00673B40">
      <w:pPr>
        <w:rPr>
          <w:rFonts w:ascii="Arial" w:hAnsi="Arial" w:cs="Arial"/>
        </w:rPr>
      </w:pPr>
      <w:r w:rsidRPr="0033577D">
        <w:rPr>
          <w:rFonts w:ascii="Arial" w:hAnsi="Arial" w:cs="Arial"/>
        </w:rPr>
        <w:t xml:space="preserve">In 2017 our Value for Money Statement set out how the Board had decided in 2016 to carry out a review of our repairs and maintenance service.  This culminated in us changing the way we procure our repairs and maintenance service.  In April 2017 we appointed Housing Maintenance Solutions (HMS) as our main contractor for repairs and maintenance and estate management services.  In August 2017 we appointed (SLH) to act as our Repairs &amp; Maintenance Managing Agent, to provide contract management and consultancy services to ensure delivery of the HMS Contract.   SBHA engaged RAND Associates to manage the procurement process and their report identified that SBHA will make efficiency savings. These efficiency savings were achieved and £40k was saved of which £32k was reinvested in additional works. The HMS contract has provided improved customer experience and improved key performance systems.  For </w:t>
      </w:r>
      <w:r w:rsidR="009A71CF" w:rsidRPr="0033577D">
        <w:rPr>
          <w:rFonts w:ascii="Arial" w:hAnsi="Arial" w:cs="Arial"/>
        </w:rPr>
        <w:t>example,</w:t>
      </w:r>
      <w:r w:rsidRPr="0033577D">
        <w:rPr>
          <w:rFonts w:ascii="Arial" w:hAnsi="Arial" w:cs="Arial"/>
        </w:rPr>
        <w:t xml:space="preserve"> we have moved to a fully computerised Gas Servicing System eliminating paper records and therefore, reducing likelihood of administrative errors.  Our routine repairs target of 21 days is now being met within 7 days.</w:t>
      </w:r>
    </w:p>
    <w:p w:rsidR="00673B40" w:rsidRPr="0033577D" w:rsidRDefault="00673B40" w:rsidP="00673B40">
      <w:pPr>
        <w:rPr>
          <w:rFonts w:ascii="Arial" w:hAnsi="Arial" w:cs="Arial"/>
        </w:rPr>
      </w:pPr>
    </w:p>
    <w:p w:rsidR="00673B40" w:rsidRDefault="00673B40" w:rsidP="00673B40">
      <w:pPr>
        <w:rPr>
          <w:rFonts w:ascii="Arial" w:hAnsi="Arial" w:cs="Arial"/>
        </w:rPr>
      </w:pPr>
      <w:r w:rsidRPr="0033577D">
        <w:rPr>
          <w:rFonts w:ascii="Arial" w:hAnsi="Arial" w:cs="Arial"/>
        </w:rPr>
        <w:t>Following the local authority decision not to fund support cost through housing benefit, we carried out a review of our sheltered housing service.  Following the review, the Board agreed that we would implement changes of service at our sheltered scheme Hector Peterson Court following consultation with tenant</w:t>
      </w:r>
      <w:r w:rsidR="00802071">
        <w:rPr>
          <w:rFonts w:ascii="Arial" w:hAnsi="Arial" w:cs="Arial"/>
        </w:rPr>
        <w:t>s</w:t>
      </w:r>
      <w:r w:rsidRPr="0033577D">
        <w:rPr>
          <w:rFonts w:ascii="Arial" w:hAnsi="Arial" w:cs="Arial"/>
        </w:rPr>
        <w:t xml:space="preserve">.  We are also still benefiting from renegotiated utility costs fixed in 2016.  The Board also took the decision to purchase our office 3 Yanwath Street, reducing revenue costs, these actions will lead to annual savings of £42k over the life of the business plan from our original base position 2016.  </w:t>
      </w:r>
    </w:p>
    <w:p w:rsidR="00673B40" w:rsidRPr="0033577D" w:rsidRDefault="00673B40" w:rsidP="00673B40">
      <w:pPr>
        <w:rPr>
          <w:rFonts w:ascii="Arial" w:hAnsi="Arial" w:cs="Arial"/>
        </w:rPr>
      </w:pPr>
    </w:p>
    <w:p w:rsidR="009C5D36" w:rsidRDefault="00673B40" w:rsidP="00673B40">
      <w:pPr>
        <w:rPr>
          <w:rFonts w:ascii="Arial" w:hAnsi="Arial" w:cs="Arial"/>
        </w:rPr>
      </w:pPr>
      <w:r w:rsidRPr="0033577D">
        <w:rPr>
          <w:rFonts w:ascii="Arial" w:hAnsi="Arial" w:cs="Arial"/>
        </w:rPr>
        <w:t xml:space="preserve">We also set out to build on our youth employability programme to develop and deliver employment and training programme for our customers to enable them to improve their skills and capacity therefore, increasing their employability.  </w:t>
      </w:r>
    </w:p>
    <w:p w:rsidR="00673B40" w:rsidRDefault="00673B40" w:rsidP="00673B40">
      <w:pPr>
        <w:rPr>
          <w:rFonts w:ascii="Arial" w:hAnsi="Arial" w:cs="Arial"/>
        </w:rPr>
      </w:pPr>
      <w:r w:rsidRPr="0033577D">
        <w:rPr>
          <w:rFonts w:ascii="Arial" w:hAnsi="Arial" w:cs="Arial"/>
        </w:rPr>
        <w:lastRenderedPageBreak/>
        <w:t>We have not been able to secure external funding for this during the year, however, we have partnered with Riverside to host a job club that our tenants and wider community are able to access.</w:t>
      </w:r>
    </w:p>
    <w:p w:rsidR="00673B40" w:rsidRPr="0033577D" w:rsidRDefault="00673B40" w:rsidP="00673B40">
      <w:pPr>
        <w:rPr>
          <w:rFonts w:ascii="Arial" w:hAnsi="Arial" w:cs="Arial"/>
        </w:rPr>
      </w:pPr>
    </w:p>
    <w:p w:rsidR="00673B40" w:rsidRPr="0033577D" w:rsidRDefault="00673B40" w:rsidP="00673B40">
      <w:pPr>
        <w:rPr>
          <w:rFonts w:ascii="Arial" w:hAnsi="Arial" w:cs="Arial"/>
        </w:rPr>
      </w:pPr>
      <w:r w:rsidRPr="0033577D">
        <w:rPr>
          <w:rFonts w:ascii="Arial" w:hAnsi="Arial" w:cs="Arial"/>
        </w:rPr>
        <w:t>We have:</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Invested £149k into our properties by delivering the second year on our five-year planned window replacement programme</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Converted two very small hard to let flats into one desirable flat</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Completed a full year of the new repairs and maintenance service delivered by both HMS and SLH</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Appointed RAND Associates to carry out a full evaluation of both services.  The review is due to be completed end September 2018</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Commenced a 5-year electrical test programme for all properties</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Implemented the change of service at Hector Peterson Court Sheltered Scheme</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 xml:space="preserve">Agreed terms and purchase price of Office 3 Yanwath Street Liverpool 8 and awaiting completion </w:t>
      </w:r>
    </w:p>
    <w:p w:rsidR="00673B40" w:rsidRPr="0033577D" w:rsidRDefault="00673B40" w:rsidP="00673B40">
      <w:pPr>
        <w:pStyle w:val="ListParagraph"/>
        <w:numPr>
          <w:ilvl w:val="0"/>
          <w:numId w:val="7"/>
        </w:numPr>
        <w:spacing w:after="160" w:line="259" w:lineRule="auto"/>
        <w:rPr>
          <w:rFonts w:ascii="Arial" w:hAnsi="Arial" w:cs="Arial"/>
        </w:rPr>
      </w:pPr>
      <w:r w:rsidRPr="0033577D">
        <w:rPr>
          <w:rFonts w:ascii="Arial" w:hAnsi="Arial" w:cs="Arial"/>
        </w:rPr>
        <w:t>Held a drop-in job-club in partnership with Riverside Housing Association at SBHA offices</w:t>
      </w:r>
    </w:p>
    <w:p w:rsidR="00673B40" w:rsidRPr="0033577D" w:rsidRDefault="00673B40" w:rsidP="00673B40">
      <w:pPr>
        <w:rPr>
          <w:rFonts w:ascii="Arial" w:hAnsi="Arial" w:cs="Arial"/>
          <w:b/>
          <w:u w:val="single"/>
        </w:rPr>
      </w:pPr>
    </w:p>
    <w:p w:rsidR="00673B40" w:rsidRPr="0033577D" w:rsidRDefault="00673B40" w:rsidP="00673B40">
      <w:pPr>
        <w:rPr>
          <w:rFonts w:ascii="Arial" w:hAnsi="Arial" w:cs="Arial"/>
          <w:b/>
          <w:u w:val="single"/>
        </w:rPr>
      </w:pPr>
      <w:r w:rsidRPr="0033577D">
        <w:rPr>
          <w:rFonts w:ascii="Arial" w:hAnsi="Arial" w:cs="Arial"/>
          <w:b/>
          <w:u w:val="single"/>
        </w:rPr>
        <w:t xml:space="preserve">Value for Money </w:t>
      </w:r>
    </w:p>
    <w:p w:rsidR="00673B40" w:rsidRDefault="00673B40" w:rsidP="00673B40">
      <w:pPr>
        <w:rPr>
          <w:rFonts w:ascii="Arial" w:hAnsi="Arial" w:cs="Arial"/>
        </w:rPr>
      </w:pPr>
      <w:r w:rsidRPr="0033577D">
        <w:rPr>
          <w:rFonts w:ascii="Arial" w:hAnsi="Arial" w:cs="Arial"/>
        </w:rPr>
        <w:t xml:space="preserve">In April 2018 the Regulator for Social Housing launched a new Value for Money Standard, which includes a set of metrics.  Registered Providers are now required to report their performance against the metrics annually in their financial statements. </w:t>
      </w:r>
    </w:p>
    <w:p w:rsidR="00673B40" w:rsidRPr="0033577D" w:rsidRDefault="00673B40" w:rsidP="00673B40">
      <w:pPr>
        <w:rPr>
          <w:rFonts w:ascii="Arial" w:hAnsi="Arial" w:cs="Arial"/>
        </w:rPr>
      </w:pPr>
    </w:p>
    <w:p w:rsidR="00673B40" w:rsidRDefault="00673B40" w:rsidP="00673B40">
      <w:pPr>
        <w:rPr>
          <w:rFonts w:ascii="Arial" w:hAnsi="Arial" w:cs="Arial"/>
          <w:b/>
        </w:rPr>
      </w:pPr>
      <w:r w:rsidRPr="0033577D">
        <w:rPr>
          <w:rFonts w:ascii="Arial" w:hAnsi="Arial" w:cs="Arial"/>
          <w:b/>
        </w:rPr>
        <w:t>Business Health &amp; Efficiency &amp; Regulator for Social Housing Metrics</w:t>
      </w:r>
    </w:p>
    <w:p w:rsidR="00673B40" w:rsidRPr="0033577D" w:rsidRDefault="00673B40" w:rsidP="00673B40">
      <w:pPr>
        <w:rPr>
          <w:rFonts w:ascii="Arial" w:hAnsi="Arial" w:cs="Arial"/>
          <w:b/>
        </w:rPr>
      </w:pPr>
    </w:p>
    <w:tbl>
      <w:tblPr>
        <w:tblStyle w:val="TableGrid"/>
        <w:tblW w:w="9748" w:type="dxa"/>
        <w:tblInd w:w="-539" w:type="dxa"/>
        <w:tblLayout w:type="fixed"/>
        <w:tblLook w:val="04A0" w:firstRow="1" w:lastRow="0" w:firstColumn="1" w:lastColumn="0" w:noHBand="0" w:noVBand="1"/>
      </w:tblPr>
      <w:tblGrid>
        <w:gridCol w:w="1810"/>
        <w:gridCol w:w="2273"/>
        <w:gridCol w:w="1129"/>
        <w:gridCol w:w="1134"/>
        <w:gridCol w:w="1134"/>
        <w:gridCol w:w="997"/>
        <w:gridCol w:w="1271"/>
      </w:tblGrid>
      <w:tr w:rsidR="00673B40" w:rsidRPr="0033577D" w:rsidTr="00A6194A">
        <w:trPr>
          <w:trHeight w:val="20"/>
          <w:tblHeader/>
        </w:trPr>
        <w:tc>
          <w:tcPr>
            <w:tcW w:w="1810" w:type="dxa"/>
            <w:tcBorders>
              <w:top w:val="single" w:sz="6" w:space="0" w:color="auto"/>
              <w:right w:val="single" w:sz="6" w:space="0" w:color="auto"/>
            </w:tcBorders>
            <w:shd w:val="clear" w:color="auto" w:fill="D9D9D9" w:themeFill="background1" w:themeFillShade="D9"/>
          </w:tcPr>
          <w:p w:rsidR="00673B40" w:rsidRPr="0033577D" w:rsidRDefault="00673B40" w:rsidP="003B52EB">
            <w:pPr>
              <w:rPr>
                <w:rFonts w:ascii="Arial" w:hAnsi="Arial" w:cs="Arial"/>
                <w:b/>
              </w:rPr>
            </w:pPr>
            <w:r w:rsidRPr="0033577D">
              <w:rPr>
                <w:rFonts w:ascii="Arial" w:hAnsi="Arial" w:cs="Arial"/>
                <w:b/>
              </w:rPr>
              <w:t xml:space="preserve">Performance </w:t>
            </w:r>
          </w:p>
        </w:tc>
        <w:tc>
          <w:tcPr>
            <w:tcW w:w="2273" w:type="dxa"/>
            <w:tcBorders>
              <w:top w:val="single" w:sz="6" w:space="0" w:color="auto"/>
              <w:left w:val="single" w:sz="6" w:space="0" w:color="auto"/>
              <w:right w:val="single" w:sz="6" w:space="0" w:color="auto"/>
            </w:tcBorders>
            <w:shd w:val="clear" w:color="auto" w:fill="D9D9D9" w:themeFill="background1" w:themeFillShade="D9"/>
          </w:tcPr>
          <w:p w:rsidR="00673B40" w:rsidRPr="0033577D" w:rsidRDefault="00673B40" w:rsidP="003B52EB">
            <w:pPr>
              <w:rPr>
                <w:rFonts w:ascii="Arial" w:hAnsi="Arial" w:cs="Arial"/>
                <w:b/>
              </w:rPr>
            </w:pPr>
            <w:r w:rsidRPr="0033577D">
              <w:rPr>
                <w:rFonts w:ascii="Arial" w:hAnsi="Arial" w:cs="Arial"/>
                <w:b/>
              </w:rPr>
              <w:t>Indicator</w:t>
            </w:r>
          </w:p>
        </w:tc>
        <w:tc>
          <w:tcPr>
            <w:tcW w:w="1129" w:type="dxa"/>
            <w:tcBorders>
              <w:top w:val="single" w:sz="6" w:space="0" w:color="auto"/>
              <w:left w:val="single" w:sz="6" w:space="0" w:color="auto"/>
              <w:right w:val="single" w:sz="6" w:space="0" w:color="auto"/>
            </w:tcBorders>
            <w:shd w:val="clear" w:color="auto" w:fill="D9D9D9" w:themeFill="background1" w:themeFillShade="D9"/>
          </w:tcPr>
          <w:p w:rsidR="00673B40" w:rsidRPr="0033577D" w:rsidRDefault="00673B40" w:rsidP="003B52EB">
            <w:pPr>
              <w:jc w:val="center"/>
              <w:rPr>
                <w:rFonts w:ascii="Arial" w:hAnsi="Arial" w:cs="Arial"/>
                <w:b/>
              </w:rPr>
            </w:pPr>
            <w:r w:rsidRPr="0033577D">
              <w:rPr>
                <w:rFonts w:ascii="Arial" w:hAnsi="Arial" w:cs="Arial"/>
                <w:b/>
              </w:rPr>
              <w:t>Metrics No</w:t>
            </w:r>
          </w:p>
          <w:p w:rsidR="00673B40" w:rsidRPr="0033577D" w:rsidRDefault="00673B40" w:rsidP="003B52EB">
            <w:pPr>
              <w:jc w:val="center"/>
              <w:rPr>
                <w:rFonts w:ascii="Arial" w:hAnsi="Arial" w:cs="Arial"/>
                <w:b/>
              </w:rPr>
            </w:pPr>
          </w:p>
        </w:tc>
        <w:tc>
          <w:tcPr>
            <w:tcW w:w="1134" w:type="dxa"/>
            <w:tcBorders>
              <w:top w:val="single" w:sz="6" w:space="0" w:color="auto"/>
              <w:left w:val="single" w:sz="6" w:space="0" w:color="auto"/>
              <w:right w:val="single" w:sz="6" w:space="0" w:color="auto"/>
            </w:tcBorders>
            <w:shd w:val="clear" w:color="auto" w:fill="D9D9D9" w:themeFill="background1" w:themeFillShade="D9"/>
          </w:tcPr>
          <w:p w:rsidR="00673B40" w:rsidRPr="0033577D" w:rsidRDefault="00673B40" w:rsidP="003B52EB">
            <w:pPr>
              <w:jc w:val="center"/>
              <w:rPr>
                <w:rFonts w:ascii="Arial" w:hAnsi="Arial" w:cs="Arial"/>
                <w:b/>
              </w:rPr>
            </w:pPr>
            <w:r w:rsidRPr="0033577D">
              <w:rPr>
                <w:rFonts w:ascii="Arial" w:hAnsi="Arial" w:cs="Arial"/>
                <w:b/>
              </w:rPr>
              <w:t>SBHA GN / Support</w:t>
            </w:r>
          </w:p>
          <w:p w:rsidR="00673B40" w:rsidRPr="0033577D" w:rsidRDefault="00673B40" w:rsidP="003B52EB">
            <w:pPr>
              <w:jc w:val="center"/>
              <w:rPr>
                <w:rFonts w:ascii="Arial" w:hAnsi="Arial" w:cs="Arial"/>
                <w:b/>
              </w:rPr>
            </w:pPr>
            <w:r w:rsidRPr="0033577D">
              <w:rPr>
                <w:rFonts w:ascii="Arial" w:hAnsi="Arial" w:cs="Arial"/>
                <w:b/>
              </w:rPr>
              <w:t>2016/17</w:t>
            </w:r>
          </w:p>
        </w:tc>
        <w:tc>
          <w:tcPr>
            <w:tcW w:w="1134" w:type="dxa"/>
            <w:tcBorders>
              <w:top w:val="single" w:sz="6" w:space="0" w:color="auto"/>
              <w:left w:val="single" w:sz="6" w:space="0" w:color="auto"/>
              <w:right w:val="single" w:sz="6" w:space="0" w:color="auto"/>
            </w:tcBorders>
            <w:shd w:val="clear" w:color="auto" w:fill="D9D9D9" w:themeFill="background1" w:themeFillShade="D9"/>
          </w:tcPr>
          <w:p w:rsidR="00673B40" w:rsidRPr="0033577D" w:rsidRDefault="00673B40" w:rsidP="003B52EB">
            <w:pPr>
              <w:jc w:val="center"/>
              <w:rPr>
                <w:rFonts w:ascii="Arial" w:hAnsi="Arial" w:cs="Arial"/>
                <w:b/>
              </w:rPr>
            </w:pPr>
            <w:r w:rsidRPr="0033577D">
              <w:rPr>
                <w:rFonts w:ascii="Arial" w:hAnsi="Arial" w:cs="Arial"/>
                <w:b/>
              </w:rPr>
              <w:t>SBHA GN / Support</w:t>
            </w:r>
          </w:p>
          <w:p w:rsidR="00673B40" w:rsidRPr="0033577D" w:rsidRDefault="00673B40" w:rsidP="003B52EB">
            <w:pPr>
              <w:jc w:val="center"/>
              <w:rPr>
                <w:rFonts w:ascii="Arial" w:hAnsi="Arial" w:cs="Arial"/>
                <w:b/>
              </w:rPr>
            </w:pPr>
            <w:r w:rsidRPr="0033577D">
              <w:rPr>
                <w:rFonts w:ascii="Arial" w:hAnsi="Arial" w:cs="Arial"/>
                <w:b/>
              </w:rPr>
              <w:t>2017/18</w:t>
            </w:r>
          </w:p>
        </w:tc>
        <w:tc>
          <w:tcPr>
            <w:tcW w:w="997" w:type="dxa"/>
            <w:tcBorders>
              <w:top w:val="single" w:sz="6" w:space="0" w:color="auto"/>
              <w:left w:val="single" w:sz="6" w:space="0" w:color="auto"/>
              <w:right w:val="single" w:sz="6" w:space="0" w:color="auto"/>
            </w:tcBorders>
            <w:shd w:val="clear" w:color="auto" w:fill="D9D9D9" w:themeFill="background1" w:themeFillShade="D9"/>
          </w:tcPr>
          <w:p w:rsidR="00673B40" w:rsidRPr="0033577D" w:rsidRDefault="00673B40" w:rsidP="003B52EB">
            <w:pPr>
              <w:jc w:val="center"/>
              <w:rPr>
                <w:rFonts w:ascii="Arial" w:hAnsi="Arial" w:cs="Arial"/>
                <w:b/>
              </w:rPr>
            </w:pPr>
            <w:r w:rsidRPr="0033577D">
              <w:rPr>
                <w:rFonts w:ascii="Arial" w:hAnsi="Arial" w:cs="Arial"/>
                <w:b/>
              </w:rPr>
              <w:t>NW Peer Group Median</w:t>
            </w:r>
          </w:p>
          <w:p w:rsidR="00673B40" w:rsidRPr="0033577D" w:rsidRDefault="00673B40" w:rsidP="003B52EB">
            <w:pPr>
              <w:jc w:val="center"/>
              <w:rPr>
                <w:rFonts w:ascii="Arial" w:hAnsi="Arial" w:cs="Arial"/>
                <w:b/>
              </w:rPr>
            </w:pPr>
            <w:r w:rsidRPr="0033577D">
              <w:rPr>
                <w:rFonts w:ascii="Arial" w:hAnsi="Arial" w:cs="Arial"/>
                <w:b/>
              </w:rPr>
              <w:t>2017/18</w:t>
            </w:r>
          </w:p>
        </w:tc>
        <w:tc>
          <w:tcPr>
            <w:tcW w:w="1271" w:type="dxa"/>
            <w:tcBorders>
              <w:top w:val="single" w:sz="6" w:space="0" w:color="auto"/>
              <w:left w:val="single" w:sz="6" w:space="0" w:color="auto"/>
            </w:tcBorders>
            <w:shd w:val="clear" w:color="auto" w:fill="D9D9D9" w:themeFill="background1" w:themeFillShade="D9"/>
          </w:tcPr>
          <w:p w:rsidR="00673B40" w:rsidRPr="0033577D" w:rsidRDefault="00673B40" w:rsidP="003B52EB">
            <w:pPr>
              <w:jc w:val="center"/>
              <w:rPr>
                <w:rFonts w:ascii="Arial" w:hAnsi="Arial" w:cs="Arial"/>
                <w:b/>
              </w:rPr>
            </w:pPr>
            <w:r w:rsidRPr="0033577D">
              <w:rPr>
                <w:rFonts w:ascii="Arial" w:hAnsi="Arial" w:cs="Arial"/>
                <w:b/>
              </w:rPr>
              <w:t>SBHA GN / Support Forecast</w:t>
            </w:r>
          </w:p>
          <w:p w:rsidR="00673B40" w:rsidRPr="0033577D" w:rsidRDefault="00673B40" w:rsidP="003B52EB">
            <w:pPr>
              <w:jc w:val="center"/>
              <w:rPr>
                <w:rFonts w:ascii="Arial" w:hAnsi="Arial" w:cs="Arial"/>
                <w:b/>
              </w:rPr>
            </w:pPr>
            <w:r w:rsidRPr="0033577D">
              <w:rPr>
                <w:rFonts w:ascii="Arial" w:hAnsi="Arial" w:cs="Arial"/>
                <w:b/>
              </w:rPr>
              <w:t>2018/19</w:t>
            </w:r>
          </w:p>
        </w:tc>
      </w:tr>
      <w:tr w:rsidR="00673B40" w:rsidRPr="0033577D" w:rsidTr="00A6194A">
        <w:tc>
          <w:tcPr>
            <w:tcW w:w="1810" w:type="dxa"/>
            <w:shd w:val="clear" w:color="auto" w:fill="D9D9D9" w:themeFill="background1" w:themeFillShade="D9"/>
          </w:tcPr>
          <w:p w:rsidR="00673B40" w:rsidRPr="0033577D" w:rsidRDefault="00673B40" w:rsidP="003B52EB">
            <w:pPr>
              <w:rPr>
                <w:rFonts w:ascii="Arial" w:hAnsi="Arial" w:cs="Arial"/>
                <w:b/>
              </w:rPr>
            </w:pPr>
            <w:r w:rsidRPr="0033577D">
              <w:rPr>
                <w:rFonts w:ascii="Arial" w:hAnsi="Arial" w:cs="Arial"/>
                <w:b/>
              </w:rPr>
              <w:t>No. of Units</w:t>
            </w:r>
          </w:p>
        </w:tc>
        <w:tc>
          <w:tcPr>
            <w:tcW w:w="2273" w:type="dxa"/>
            <w:shd w:val="clear" w:color="auto" w:fill="F2F2F2" w:themeFill="background1" w:themeFillShade="F2"/>
          </w:tcPr>
          <w:p w:rsidR="00673B40" w:rsidRPr="0033577D" w:rsidRDefault="00673B40" w:rsidP="003B52EB">
            <w:pPr>
              <w:rPr>
                <w:rFonts w:ascii="Arial" w:hAnsi="Arial" w:cs="Arial"/>
                <w:b/>
              </w:rPr>
            </w:pPr>
          </w:p>
        </w:tc>
        <w:tc>
          <w:tcPr>
            <w:tcW w:w="1129" w:type="dxa"/>
          </w:tcPr>
          <w:p w:rsidR="00673B40" w:rsidRPr="0033577D" w:rsidRDefault="00673B40" w:rsidP="003B52EB">
            <w:pPr>
              <w:jc w:val="right"/>
              <w:rPr>
                <w:rFonts w:ascii="Arial" w:hAnsi="Arial" w:cs="Arial"/>
                <w:b/>
              </w:rPr>
            </w:pPr>
          </w:p>
        </w:tc>
        <w:tc>
          <w:tcPr>
            <w:tcW w:w="1134" w:type="dxa"/>
          </w:tcPr>
          <w:p w:rsidR="00673B40" w:rsidRPr="0033577D" w:rsidRDefault="00673B40" w:rsidP="003B52EB">
            <w:pPr>
              <w:jc w:val="right"/>
              <w:rPr>
                <w:rFonts w:ascii="Arial" w:hAnsi="Arial" w:cs="Arial"/>
              </w:rPr>
            </w:pPr>
            <w:r w:rsidRPr="0033577D">
              <w:rPr>
                <w:rFonts w:ascii="Arial" w:hAnsi="Arial" w:cs="Arial"/>
              </w:rPr>
              <w:t>267</w:t>
            </w:r>
          </w:p>
        </w:tc>
        <w:tc>
          <w:tcPr>
            <w:tcW w:w="1134" w:type="dxa"/>
          </w:tcPr>
          <w:p w:rsidR="00673B40" w:rsidRPr="0033577D" w:rsidRDefault="00673B40" w:rsidP="003B52EB">
            <w:pPr>
              <w:jc w:val="right"/>
              <w:rPr>
                <w:rFonts w:ascii="Arial" w:hAnsi="Arial" w:cs="Arial"/>
              </w:rPr>
            </w:pPr>
            <w:r w:rsidRPr="0033577D">
              <w:rPr>
                <w:rFonts w:ascii="Arial" w:hAnsi="Arial" w:cs="Arial"/>
              </w:rPr>
              <w:t>265</w:t>
            </w:r>
          </w:p>
        </w:tc>
        <w:tc>
          <w:tcPr>
            <w:tcW w:w="997" w:type="dxa"/>
          </w:tcPr>
          <w:p w:rsidR="00673B40" w:rsidRPr="0033577D" w:rsidRDefault="00673B40" w:rsidP="003B52EB">
            <w:pPr>
              <w:jc w:val="right"/>
              <w:rPr>
                <w:rFonts w:ascii="Arial" w:hAnsi="Arial" w:cs="Arial"/>
              </w:rPr>
            </w:pPr>
          </w:p>
        </w:tc>
        <w:tc>
          <w:tcPr>
            <w:tcW w:w="1271" w:type="dxa"/>
          </w:tcPr>
          <w:p w:rsidR="00673B40" w:rsidRPr="0033577D" w:rsidRDefault="00673B40" w:rsidP="003B52EB">
            <w:pPr>
              <w:jc w:val="right"/>
              <w:rPr>
                <w:rFonts w:ascii="Arial" w:hAnsi="Arial" w:cs="Arial"/>
              </w:rPr>
            </w:pPr>
            <w:r w:rsidRPr="0033577D">
              <w:rPr>
                <w:rFonts w:ascii="Arial" w:hAnsi="Arial" w:cs="Arial"/>
              </w:rPr>
              <w:t>275</w:t>
            </w:r>
          </w:p>
        </w:tc>
      </w:tr>
      <w:tr w:rsidR="00673B40" w:rsidRPr="0033577D" w:rsidTr="00A6194A">
        <w:tc>
          <w:tcPr>
            <w:tcW w:w="1810" w:type="dxa"/>
            <w:vMerge w:val="restart"/>
            <w:shd w:val="clear" w:color="auto" w:fill="D9D9D9" w:themeFill="background1" w:themeFillShade="D9"/>
          </w:tcPr>
          <w:p w:rsidR="00673B40" w:rsidRPr="0033577D" w:rsidRDefault="00673B40" w:rsidP="003B52EB">
            <w:pPr>
              <w:rPr>
                <w:rFonts w:ascii="Arial" w:hAnsi="Arial" w:cs="Arial"/>
                <w:b/>
                <w:sz w:val="20"/>
                <w:szCs w:val="20"/>
              </w:rPr>
            </w:pPr>
            <w:r w:rsidRPr="0033577D">
              <w:rPr>
                <w:rFonts w:ascii="Arial" w:hAnsi="Arial" w:cs="Arial"/>
                <w:b/>
                <w:sz w:val="20"/>
                <w:szCs w:val="20"/>
              </w:rPr>
              <w:t>Business Health</w:t>
            </w:r>
          </w:p>
          <w:p w:rsidR="00673B40" w:rsidRPr="0033577D" w:rsidRDefault="00673B40" w:rsidP="003B52EB">
            <w:pPr>
              <w:rPr>
                <w:rFonts w:ascii="Arial" w:hAnsi="Arial" w:cs="Arial"/>
                <w:sz w:val="20"/>
                <w:szCs w:val="20"/>
              </w:rPr>
            </w:pPr>
          </w:p>
          <w:p w:rsidR="00673B40" w:rsidRPr="0033577D" w:rsidRDefault="00673B40" w:rsidP="003B52EB">
            <w:pPr>
              <w:tabs>
                <w:tab w:val="left" w:pos="1428"/>
              </w:tabs>
              <w:rPr>
                <w:rFonts w:ascii="Arial" w:hAnsi="Arial" w:cs="Arial"/>
                <w:sz w:val="20"/>
                <w:szCs w:val="20"/>
              </w:rPr>
            </w:pPr>
            <w:r w:rsidRPr="0033577D">
              <w:rPr>
                <w:rFonts w:ascii="Arial" w:hAnsi="Arial" w:cs="Arial"/>
                <w:sz w:val="20"/>
                <w:szCs w:val="20"/>
              </w:rPr>
              <w:tab/>
            </w:r>
          </w:p>
          <w:p w:rsidR="00673B40" w:rsidRPr="0033577D" w:rsidRDefault="00673B40" w:rsidP="003B52EB">
            <w:pPr>
              <w:tabs>
                <w:tab w:val="left" w:pos="1428"/>
              </w:tabs>
              <w:rPr>
                <w:rFonts w:ascii="Arial" w:hAnsi="Arial" w:cs="Arial"/>
                <w:sz w:val="20"/>
                <w:szCs w:val="20"/>
              </w:rPr>
            </w:pPr>
          </w:p>
          <w:p w:rsidR="00673B40" w:rsidRPr="0033577D" w:rsidRDefault="00673B40" w:rsidP="003B52EB">
            <w:pPr>
              <w:tabs>
                <w:tab w:val="left" w:pos="1428"/>
              </w:tabs>
              <w:rPr>
                <w:rFonts w:ascii="Arial" w:hAnsi="Arial" w:cs="Arial"/>
                <w:sz w:val="20"/>
                <w:szCs w:val="20"/>
              </w:rPr>
            </w:pPr>
          </w:p>
          <w:p w:rsidR="00673B40" w:rsidRPr="0033577D" w:rsidRDefault="00673B40" w:rsidP="003B52EB">
            <w:pPr>
              <w:tabs>
                <w:tab w:val="left" w:pos="1428"/>
              </w:tabs>
              <w:rPr>
                <w:rFonts w:ascii="Arial" w:hAnsi="Arial" w:cs="Arial"/>
                <w:i/>
                <w:sz w:val="20"/>
                <w:szCs w:val="20"/>
              </w:rPr>
            </w:pPr>
            <w:r w:rsidRPr="0033577D">
              <w:rPr>
                <w:rFonts w:ascii="Arial" w:hAnsi="Arial" w:cs="Arial"/>
                <w:i/>
                <w:sz w:val="20"/>
                <w:szCs w:val="20"/>
              </w:rPr>
              <w:t>Efficiency</w:t>
            </w: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Total Operating Margin</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6</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15.60%</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16.20%</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22.4%</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16.14%</w:t>
            </w: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Social Housing Operating Margin</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6</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15.47%</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15.36%</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26.55%</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14.97%</w:t>
            </w: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EBITDA MRI (as a % of interest)</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4</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126.40%</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99.38%</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307%</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151.00%</w:t>
            </w: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Gearing</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3</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18.96%</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21.03%</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18.68%</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23.02%</w:t>
            </w:r>
          </w:p>
        </w:tc>
      </w:tr>
      <w:tr w:rsidR="00673B40" w:rsidRPr="0033577D" w:rsidTr="00A6194A">
        <w:trPr>
          <w:trHeight w:val="1343"/>
        </w:trPr>
        <w:tc>
          <w:tcPr>
            <w:tcW w:w="1810" w:type="dxa"/>
            <w:shd w:val="clear" w:color="auto" w:fill="D9D9D9" w:themeFill="background1" w:themeFillShade="D9"/>
          </w:tcPr>
          <w:p w:rsidR="00673B40" w:rsidRPr="0033577D" w:rsidRDefault="00673B40" w:rsidP="003B52EB">
            <w:pPr>
              <w:rPr>
                <w:rFonts w:ascii="Arial" w:hAnsi="Arial" w:cs="Arial"/>
                <w:sz w:val="20"/>
                <w:szCs w:val="20"/>
              </w:rPr>
            </w:pPr>
          </w:p>
          <w:p w:rsidR="00673B40" w:rsidRPr="0033577D" w:rsidRDefault="00673B40" w:rsidP="003B52EB">
            <w:pPr>
              <w:rPr>
                <w:rFonts w:ascii="Arial" w:hAnsi="Arial" w:cs="Arial"/>
                <w:sz w:val="20"/>
                <w:szCs w:val="20"/>
              </w:rPr>
            </w:pPr>
          </w:p>
          <w:p w:rsidR="00673B40" w:rsidRPr="0033577D" w:rsidRDefault="00673B40" w:rsidP="003B52EB">
            <w:pPr>
              <w:jc w:val="center"/>
              <w:rPr>
                <w:rFonts w:ascii="Arial" w:hAnsi="Arial" w:cs="Arial"/>
                <w:sz w:val="20"/>
                <w:szCs w:val="20"/>
              </w:rPr>
            </w:pPr>
          </w:p>
          <w:p w:rsidR="00673B40" w:rsidRPr="0033577D" w:rsidRDefault="00673B40" w:rsidP="003B52EB">
            <w:pPr>
              <w:jc w:val="center"/>
              <w:rPr>
                <w:rFonts w:ascii="Arial" w:hAnsi="Arial" w:cs="Arial"/>
                <w:sz w:val="20"/>
                <w:szCs w:val="20"/>
              </w:rPr>
            </w:pPr>
          </w:p>
          <w:p w:rsidR="00673B40" w:rsidRPr="0033577D" w:rsidRDefault="00673B40" w:rsidP="003B52EB">
            <w:pPr>
              <w:rPr>
                <w:rFonts w:ascii="Arial" w:hAnsi="Arial" w:cs="Arial"/>
                <w:sz w:val="20"/>
                <w:szCs w:val="20"/>
              </w:rPr>
            </w:pPr>
            <w:r w:rsidRPr="0033577D">
              <w:rPr>
                <w:rFonts w:ascii="Arial" w:hAnsi="Arial" w:cs="Arial"/>
                <w:i/>
                <w:sz w:val="20"/>
                <w:szCs w:val="20"/>
              </w:rPr>
              <w:t>Efficiency</w:t>
            </w: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Reinvestment % investment in properties (existing stock and new supply as % of the value of total properties.</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1.24%</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3.34%</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4.14%</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4.73%</w:t>
            </w:r>
          </w:p>
        </w:tc>
      </w:tr>
      <w:tr w:rsidR="00673B40" w:rsidRPr="0033577D" w:rsidTr="00A6194A">
        <w:tc>
          <w:tcPr>
            <w:tcW w:w="1810" w:type="dxa"/>
            <w:vMerge w:val="restart"/>
            <w:shd w:val="clear" w:color="auto" w:fill="D9D9D9" w:themeFill="background1" w:themeFillShade="D9"/>
          </w:tcPr>
          <w:p w:rsidR="00673B40" w:rsidRPr="0033577D" w:rsidRDefault="00673B40" w:rsidP="003B52EB">
            <w:pPr>
              <w:rPr>
                <w:rFonts w:ascii="Arial" w:hAnsi="Arial" w:cs="Arial"/>
                <w:b/>
                <w:sz w:val="20"/>
                <w:szCs w:val="20"/>
              </w:rPr>
            </w:pPr>
            <w:r w:rsidRPr="0033577D">
              <w:rPr>
                <w:rFonts w:ascii="Arial" w:hAnsi="Arial" w:cs="Arial"/>
                <w:b/>
                <w:sz w:val="20"/>
                <w:szCs w:val="20"/>
              </w:rPr>
              <w:t>Operating efficiencies</w:t>
            </w: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i/>
                <w:sz w:val="20"/>
                <w:szCs w:val="20"/>
              </w:rPr>
            </w:pPr>
            <w:r w:rsidRPr="0033577D">
              <w:rPr>
                <w:rFonts w:ascii="Arial" w:hAnsi="Arial" w:cs="Arial"/>
                <w:i/>
                <w:sz w:val="20"/>
                <w:szCs w:val="20"/>
              </w:rPr>
              <w:t>Efficiency</w:t>
            </w: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lastRenderedPageBreak/>
              <w:t xml:space="preserve">Headline Social housing costs per unit.  </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5</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£4,105</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£4,235</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£4,195</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£4,018</w:t>
            </w: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b/>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Rent Collected as % of rent owed (excluding arrears b/f)</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100.70%</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100.10%</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100.00%</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100.00%</w:t>
            </w: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b/>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Overheads as a % of adjusted turnover</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11.86%</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11.99%</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14.33%</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12.40%</w:t>
            </w:r>
          </w:p>
        </w:tc>
      </w:tr>
      <w:tr w:rsidR="00673B40" w:rsidRPr="0033577D" w:rsidTr="00A6194A">
        <w:tc>
          <w:tcPr>
            <w:tcW w:w="1810" w:type="dxa"/>
            <w:vMerge w:val="restart"/>
            <w:shd w:val="clear" w:color="auto" w:fill="D9D9D9" w:themeFill="background1" w:themeFillShade="D9"/>
          </w:tcPr>
          <w:p w:rsidR="00673B40" w:rsidRPr="0033577D" w:rsidRDefault="00673B40" w:rsidP="003B52EB">
            <w:pPr>
              <w:rPr>
                <w:rFonts w:ascii="Arial" w:hAnsi="Arial" w:cs="Arial"/>
                <w:b/>
                <w:sz w:val="20"/>
                <w:szCs w:val="20"/>
              </w:rPr>
            </w:pPr>
            <w:r w:rsidRPr="0033577D">
              <w:rPr>
                <w:rFonts w:ascii="Arial" w:hAnsi="Arial" w:cs="Arial"/>
                <w:b/>
                <w:sz w:val="20"/>
                <w:szCs w:val="20"/>
              </w:rPr>
              <w:t>Effective Asset Management</w:t>
            </w: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i/>
                <w:sz w:val="20"/>
                <w:szCs w:val="20"/>
              </w:rPr>
            </w:pPr>
            <w:r w:rsidRPr="0033577D">
              <w:rPr>
                <w:rFonts w:ascii="Arial" w:hAnsi="Arial" w:cs="Arial"/>
                <w:i/>
                <w:sz w:val="20"/>
                <w:szCs w:val="20"/>
              </w:rPr>
              <w:t>Efficiency</w:t>
            </w: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Return on Capital employed % compares the overall operating surplus to total assets less current liabilities</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7</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1.60%</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1.63%</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3.40%</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1.67%</w:t>
            </w: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General Needs Occupancy</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98.49%</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98.74%</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99.64%</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98.25%</w:t>
            </w: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Ratio of responsive repairs to planned spend</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0.69</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0.70</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0.60</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0.84</w:t>
            </w:r>
          </w:p>
        </w:tc>
      </w:tr>
      <w:tr w:rsidR="00673B40" w:rsidRPr="0033577D" w:rsidTr="00A6194A">
        <w:tc>
          <w:tcPr>
            <w:tcW w:w="1810" w:type="dxa"/>
            <w:vMerge w:val="restart"/>
            <w:shd w:val="clear" w:color="auto" w:fill="D9D9D9" w:themeFill="background1" w:themeFillShade="D9"/>
          </w:tcPr>
          <w:p w:rsidR="00673B40" w:rsidRPr="0033577D" w:rsidRDefault="00673B40" w:rsidP="003B52EB">
            <w:pPr>
              <w:rPr>
                <w:rFonts w:ascii="Arial" w:hAnsi="Arial" w:cs="Arial"/>
                <w:b/>
                <w:sz w:val="20"/>
                <w:szCs w:val="20"/>
              </w:rPr>
            </w:pPr>
            <w:r w:rsidRPr="0033577D">
              <w:rPr>
                <w:rFonts w:ascii="Arial" w:hAnsi="Arial" w:cs="Arial"/>
                <w:b/>
                <w:sz w:val="20"/>
                <w:szCs w:val="20"/>
              </w:rPr>
              <w:t>Development Capacity &amp; Supply</w:t>
            </w:r>
          </w:p>
          <w:p w:rsidR="00673B40" w:rsidRPr="0033577D" w:rsidRDefault="00673B40" w:rsidP="003B52EB">
            <w:pPr>
              <w:rPr>
                <w:rFonts w:ascii="Arial" w:hAnsi="Arial" w:cs="Arial"/>
                <w:b/>
                <w:sz w:val="20"/>
                <w:szCs w:val="20"/>
              </w:rPr>
            </w:pPr>
          </w:p>
          <w:p w:rsidR="00673B40" w:rsidRPr="0033577D" w:rsidRDefault="00673B40" w:rsidP="003B52EB">
            <w:pPr>
              <w:rPr>
                <w:rFonts w:ascii="Arial" w:hAnsi="Arial" w:cs="Arial"/>
                <w:i/>
                <w:sz w:val="20"/>
                <w:szCs w:val="20"/>
              </w:rPr>
            </w:pPr>
            <w:r w:rsidRPr="0033577D">
              <w:rPr>
                <w:rFonts w:ascii="Arial" w:hAnsi="Arial" w:cs="Arial"/>
                <w:i/>
                <w:sz w:val="20"/>
                <w:szCs w:val="20"/>
              </w:rPr>
              <w:t>Effectiveness</w:t>
            </w:r>
          </w:p>
          <w:p w:rsidR="00673B40" w:rsidRPr="0033577D" w:rsidRDefault="00673B40" w:rsidP="003B52EB">
            <w:pPr>
              <w:rPr>
                <w:rFonts w:ascii="Arial" w:hAnsi="Arial" w:cs="Arial"/>
                <w:b/>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Units Developed</w:t>
            </w:r>
          </w:p>
          <w:p w:rsidR="00673B40" w:rsidRPr="0033577D" w:rsidRDefault="00673B40" w:rsidP="003B52EB">
            <w:pPr>
              <w:rPr>
                <w:rFonts w:ascii="Arial" w:hAnsi="Arial" w:cs="Arial"/>
                <w:sz w:val="20"/>
                <w:szCs w:val="20"/>
              </w:rPr>
            </w:pPr>
          </w:p>
          <w:p w:rsidR="00673B40" w:rsidRPr="0033577D" w:rsidRDefault="00673B40" w:rsidP="003B52EB">
            <w:pPr>
              <w:rPr>
                <w:rFonts w:ascii="Arial" w:hAnsi="Arial" w:cs="Arial"/>
                <w:sz w:val="20"/>
                <w:szCs w:val="20"/>
              </w:rPr>
            </w:pP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w:t>
            </w:r>
          </w:p>
        </w:tc>
        <w:tc>
          <w:tcPr>
            <w:tcW w:w="1271" w:type="dxa"/>
          </w:tcPr>
          <w:p w:rsidR="00673B40" w:rsidRPr="0033577D" w:rsidRDefault="00673B40" w:rsidP="003B52EB">
            <w:pPr>
              <w:jc w:val="right"/>
              <w:rPr>
                <w:rFonts w:ascii="Arial" w:hAnsi="Arial" w:cs="Arial"/>
                <w:sz w:val="20"/>
                <w:szCs w:val="20"/>
              </w:rPr>
            </w:pPr>
          </w:p>
        </w:tc>
      </w:tr>
      <w:tr w:rsidR="00673B40" w:rsidRPr="0033577D" w:rsidTr="00A6194A">
        <w:tc>
          <w:tcPr>
            <w:tcW w:w="1810" w:type="dxa"/>
            <w:vMerge/>
            <w:shd w:val="clear" w:color="auto" w:fill="D9D9D9" w:themeFill="background1" w:themeFillShade="D9"/>
          </w:tcPr>
          <w:p w:rsidR="00673B40" w:rsidRPr="0033577D" w:rsidRDefault="00673B40" w:rsidP="003B52EB">
            <w:pPr>
              <w:rPr>
                <w:rFonts w:ascii="Arial" w:hAnsi="Arial" w:cs="Arial"/>
                <w:b/>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Units Developed as a % of units owned</w:t>
            </w:r>
          </w:p>
        </w:tc>
        <w:tc>
          <w:tcPr>
            <w:tcW w:w="1129"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2</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w:t>
            </w:r>
          </w:p>
        </w:tc>
        <w:tc>
          <w:tcPr>
            <w:tcW w:w="1271" w:type="dxa"/>
          </w:tcPr>
          <w:p w:rsidR="00673B40" w:rsidRPr="0033577D" w:rsidRDefault="00673B40" w:rsidP="003B52EB">
            <w:pPr>
              <w:jc w:val="right"/>
              <w:rPr>
                <w:rFonts w:ascii="Arial" w:hAnsi="Arial" w:cs="Arial"/>
                <w:sz w:val="20"/>
                <w:szCs w:val="20"/>
              </w:rPr>
            </w:pPr>
          </w:p>
        </w:tc>
      </w:tr>
      <w:tr w:rsidR="00673B40" w:rsidRPr="0033577D" w:rsidTr="00A6194A">
        <w:tc>
          <w:tcPr>
            <w:tcW w:w="1810" w:type="dxa"/>
            <w:shd w:val="clear" w:color="auto" w:fill="D9D9D9" w:themeFill="background1" w:themeFillShade="D9"/>
          </w:tcPr>
          <w:p w:rsidR="00673B40" w:rsidRPr="0033577D" w:rsidRDefault="00673B40" w:rsidP="003B52EB">
            <w:pPr>
              <w:rPr>
                <w:rFonts w:ascii="Arial" w:hAnsi="Arial" w:cs="Arial"/>
                <w:b/>
                <w:sz w:val="20"/>
                <w:szCs w:val="20"/>
              </w:rPr>
            </w:pPr>
            <w:r w:rsidRPr="0033577D">
              <w:rPr>
                <w:rFonts w:ascii="Arial" w:hAnsi="Arial" w:cs="Arial"/>
                <w:b/>
                <w:sz w:val="20"/>
                <w:szCs w:val="20"/>
              </w:rPr>
              <w:t>Outcomes Delivered</w:t>
            </w: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Customers satisfied their rent provides value for money</w:t>
            </w:r>
          </w:p>
          <w:p w:rsidR="00673B40" w:rsidRPr="0033577D" w:rsidRDefault="00673B40" w:rsidP="003B52EB">
            <w:pPr>
              <w:rPr>
                <w:rFonts w:ascii="Arial" w:hAnsi="Arial" w:cs="Arial"/>
                <w:sz w:val="20"/>
                <w:szCs w:val="20"/>
              </w:rPr>
            </w:pPr>
            <w:r w:rsidRPr="0033577D">
              <w:rPr>
                <w:rFonts w:ascii="Arial" w:hAnsi="Arial" w:cs="Arial"/>
                <w:sz w:val="20"/>
                <w:szCs w:val="20"/>
              </w:rPr>
              <w:t>*2011 survey results</w:t>
            </w:r>
          </w:p>
          <w:p w:rsidR="00673B40" w:rsidRPr="0033577D" w:rsidRDefault="00673B40" w:rsidP="003B52EB">
            <w:pPr>
              <w:rPr>
                <w:rFonts w:ascii="Arial" w:hAnsi="Arial" w:cs="Arial"/>
                <w:sz w:val="20"/>
                <w:szCs w:val="20"/>
              </w:rPr>
            </w:pPr>
            <w:r w:rsidRPr="0033577D">
              <w:rPr>
                <w:rFonts w:ascii="Arial" w:hAnsi="Arial" w:cs="Arial"/>
                <w:sz w:val="20"/>
                <w:szCs w:val="20"/>
              </w:rPr>
              <w:t>*2015 survey results</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84%*</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86%**</w:t>
            </w:r>
          </w:p>
        </w:tc>
        <w:tc>
          <w:tcPr>
            <w:tcW w:w="997"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87.84%</w:t>
            </w: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84%</w:t>
            </w:r>
          </w:p>
        </w:tc>
      </w:tr>
      <w:tr w:rsidR="00673B40" w:rsidRPr="0033577D" w:rsidTr="00A6194A">
        <w:tc>
          <w:tcPr>
            <w:tcW w:w="1810" w:type="dxa"/>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 invested for every £ generated in new housing units</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£0.00</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£1.07</w:t>
            </w:r>
          </w:p>
        </w:tc>
        <w:tc>
          <w:tcPr>
            <w:tcW w:w="997" w:type="dxa"/>
          </w:tcPr>
          <w:p w:rsidR="00673B40" w:rsidRPr="0033577D" w:rsidRDefault="00673B40" w:rsidP="003B52EB">
            <w:pPr>
              <w:jc w:val="right"/>
              <w:rPr>
                <w:rFonts w:ascii="Arial" w:hAnsi="Arial" w:cs="Arial"/>
                <w:sz w:val="20"/>
                <w:szCs w:val="20"/>
              </w:rPr>
            </w:pP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£1.22</w:t>
            </w:r>
          </w:p>
        </w:tc>
      </w:tr>
      <w:tr w:rsidR="00673B40" w:rsidRPr="0033577D" w:rsidTr="00A6194A">
        <w:tc>
          <w:tcPr>
            <w:tcW w:w="1810" w:type="dxa"/>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 invested for every £ generated in communities</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£0.013</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£0.027</w:t>
            </w:r>
          </w:p>
        </w:tc>
        <w:tc>
          <w:tcPr>
            <w:tcW w:w="997" w:type="dxa"/>
          </w:tcPr>
          <w:p w:rsidR="00673B40" w:rsidRPr="0033577D" w:rsidRDefault="00673B40" w:rsidP="003B52EB">
            <w:pPr>
              <w:jc w:val="right"/>
              <w:rPr>
                <w:rFonts w:ascii="Arial" w:hAnsi="Arial" w:cs="Arial"/>
                <w:sz w:val="20"/>
                <w:szCs w:val="20"/>
              </w:rPr>
            </w:pPr>
          </w:p>
        </w:tc>
        <w:tc>
          <w:tcPr>
            <w:tcW w:w="1271"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£0.018</w:t>
            </w:r>
          </w:p>
        </w:tc>
      </w:tr>
      <w:tr w:rsidR="00673B40" w:rsidRPr="0033577D" w:rsidTr="00A6194A">
        <w:tc>
          <w:tcPr>
            <w:tcW w:w="1810" w:type="dxa"/>
            <w:shd w:val="clear" w:color="auto" w:fill="D9D9D9" w:themeFill="background1" w:themeFillShade="D9"/>
          </w:tcPr>
          <w:p w:rsidR="00673B40" w:rsidRPr="0033577D" w:rsidRDefault="00673B40" w:rsidP="003B52EB">
            <w:pPr>
              <w:rPr>
                <w:rFonts w:ascii="Arial" w:hAnsi="Arial" w:cs="Arial"/>
                <w:sz w:val="20"/>
                <w:szCs w:val="20"/>
              </w:rPr>
            </w:pPr>
          </w:p>
        </w:tc>
        <w:tc>
          <w:tcPr>
            <w:tcW w:w="2273" w:type="dxa"/>
            <w:shd w:val="clear" w:color="auto" w:fill="F2F2F2" w:themeFill="background1" w:themeFillShade="F2"/>
          </w:tcPr>
          <w:p w:rsidR="00673B40" w:rsidRPr="0033577D" w:rsidRDefault="00673B40" w:rsidP="003B52EB">
            <w:pPr>
              <w:rPr>
                <w:rFonts w:ascii="Arial" w:hAnsi="Arial" w:cs="Arial"/>
                <w:sz w:val="20"/>
                <w:szCs w:val="20"/>
              </w:rPr>
            </w:pPr>
            <w:r w:rsidRPr="0033577D">
              <w:rPr>
                <w:rFonts w:ascii="Arial" w:hAnsi="Arial" w:cs="Arial"/>
                <w:sz w:val="20"/>
                <w:szCs w:val="20"/>
              </w:rPr>
              <w:t>BME Lettings Target set at 45% based on demographics of area.</w:t>
            </w:r>
          </w:p>
        </w:tc>
        <w:tc>
          <w:tcPr>
            <w:tcW w:w="1129" w:type="dxa"/>
          </w:tcPr>
          <w:p w:rsidR="00673B40" w:rsidRPr="0033577D" w:rsidRDefault="00673B40" w:rsidP="003B52EB">
            <w:pPr>
              <w:jc w:val="right"/>
              <w:rPr>
                <w:rFonts w:ascii="Arial" w:hAnsi="Arial" w:cs="Arial"/>
                <w:sz w:val="20"/>
                <w:szCs w:val="20"/>
              </w:rPr>
            </w:pP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81.1%</w:t>
            </w:r>
          </w:p>
        </w:tc>
        <w:tc>
          <w:tcPr>
            <w:tcW w:w="1134" w:type="dxa"/>
          </w:tcPr>
          <w:p w:rsidR="00673B40" w:rsidRPr="0033577D" w:rsidRDefault="00673B40" w:rsidP="003B52EB">
            <w:pPr>
              <w:jc w:val="right"/>
              <w:rPr>
                <w:rFonts w:ascii="Arial" w:hAnsi="Arial" w:cs="Arial"/>
                <w:sz w:val="20"/>
                <w:szCs w:val="20"/>
              </w:rPr>
            </w:pPr>
            <w:r w:rsidRPr="0033577D">
              <w:rPr>
                <w:rFonts w:ascii="Arial" w:hAnsi="Arial" w:cs="Arial"/>
                <w:sz w:val="20"/>
                <w:szCs w:val="20"/>
              </w:rPr>
              <w:t>61.1%</w:t>
            </w:r>
          </w:p>
        </w:tc>
        <w:tc>
          <w:tcPr>
            <w:tcW w:w="997" w:type="dxa"/>
          </w:tcPr>
          <w:p w:rsidR="00673B40" w:rsidRPr="0033577D" w:rsidRDefault="00673B40" w:rsidP="003B52EB">
            <w:pPr>
              <w:jc w:val="right"/>
              <w:rPr>
                <w:rFonts w:ascii="Arial" w:hAnsi="Arial" w:cs="Arial"/>
                <w:sz w:val="20"/>
                <w:szCs w:val="20"/>
              </w:rPr>
            </w:pPr>
          </w:p>
        </w:tc>
        <w:tc>
          <w:tcPr>
            <w:tcW w:w="1271" w:type="dxa"/>
          </w:tcPr>
          <w:p w:rsidR="00673B40" w:rsidRPr="0033577D" w:rsidRDefault="00673B40" w:rsidP="003B52EB">
            <w:pPr>
              <w:jc w:val="right"/>
              <w:rPr>
                <w:rFonts w:ascii="Arial" w:hAnsi="Arial" w:cs="Arial"/>
                <w:sz w:val="20"/>
                <w:szCs w:val="20"/>
              </w:rPr>
            </w:pPr>
          </w:p>
        </w:tc>
      </w:tr>
    </w:tbl>
    <w:p w:rsidR="00673B40" w:rsidRPr="0033577D" w:rsidRDefault="00673B40" w:rsidP="00673B40">
      <w:pPr>
        <w:rPr>
          <w:rFonts w:ascii="Arial" w:hAnsi="Arial" w:cs="Arial"/>
          <w:sz w:val="20"/>
          <w:szCs w:val="20"/>
        </w:rPr>
      </w:pPr>
    </w:p>
    <w:p w:rsidR="00673B40" w:rsidRPr="0033577D" w:rsidRDefault="00673B40" w:rsidP="00673B40">
      <w:pPr>
        <w:rPr>
          <w:rFonts w:ascii="Arial" w:hAnsi="Arial" w:cs="Arial"/>
        </w:rPr>
      </w:pPr>
      <w:r w:rsidRPr="0033577D">
        <w:rPr>
          <w:rFonts w:ascii="Arial" w:hAnsi="Arial" w:cs="Arial"/>
        </w:rPr>
        <w:t>The NW peer group includes:</w:t>
      </w:r>
    </w:p>
    <w:tbl>
      <w:tblPr>
        <w:tblStyle w:val="TableGridLight"/>
        <w:tblW w:w="0" w:type="auto"/>
        <w:tblLook w:val="04A0" w:firstRow="1" w:lastRow="0" w:firstColumn="1" w:lastColumn="0" w:noHBand="0" w:noVBand="1"/>
      </w:tblPr>
      <w:tblGrid>
        <w:gridCol w:w="4508"/>
        <w:gridCol w:w="4508"/>
      </w:tblGrid>
      <w:tr w:rsidR="00673B40" w:rsidRPr="0033577D" w:rsidTr="003B52EB">
        <w:tc>
          <w:tcPr>
            <w:tcW w:w="4508" w:type="dxa"/>
          </w:tcPr>
          <w:p w:rsidR="00673B40" w:rsidRPr="0033577D" w:rsidRDefault="00673B40" w:rsidP="003B52EB">
            <w:pPr>
              <w:rPr>
                <w:rFonts w:ascii="Arial" w:hAnsi="Arial" w:cs="Arial"/>
              </w:rPr>
            </w:pPr>
            <w:r w:rsidRPr="0033577D">
              <w:rPr>
                <w:rFonts w:ascii="Arial" w:hAnsi="Arial" w:cs="Arial"/>
              </w:rPr>
              <w:t>Alpha Homes HA</w:t>
            </w:r>
          </w:p>
        </w:tc>
        <w:tc>
          <w:tcPr>
            <w:tcW w:w="4508" w:type="dxa"/>
          </w:tcPr>
          <w:p w:rsidR="00673B40" w:rsidRPr="0033577D" w:rsidRDefault="00673B40" w:rsidP="003B52EB">
            <w:pPr>
              <w:rPr>
                <w:rFonts w:ascii="Arial" w:hAnsi="Arial" w:cs="Arial"/>
              </w:rPr>
            </w:pPr>
            <w:r w:rsidRPr="0033577D">
              <w:rPr>
                <w:rFonts w:ascii="Arial" w:hAnsi="Arial" w:cs="Arial"/>
              </w:rPr>
              <w:t>Forum HA</w:t>
            </w:r>
          </w:p>
        </w:tc>
      </w:tr>
      <w:tr w:rsidR="00673B40" w:rsidRPr="0033577D" w:rsidTr="003B52EB">
        <w:tc>
          <w:tcPr>
            <w:tcW w:w="4508" w:type="dxa"/>
          </w:tcPr>
          <w:p w:rsidR="00673B40" w:rsidRPr="0033577D" w:rsidRDefault="00673B40" w:rsidP="003B52EB">
            <w:pPr>
              <w:rPr>
                <w:rFonts w:ascii="Arial" w:hAnsi="Arial" w:cs="Arial"/>
              </w:rPr>
            </w:pPr>
            <w:r w:rsidRPr="0033577D">
              <w:rPr>
                <w:rFonts w:ascii="Arial" w:hAnsi="Arial" w:cs="Arial"/>
              </w:rPr>
              <w:t>Arawak Walton HA</w:t>
            </w:r>
          </w:p>
        </w:tc>
        <w:tc>
          <w:tcPr>
            <w:tcW w:w="4508" w:type="dxa"/>
          </w:tcPr>
          <w:p w:rsidR="00673B40" w:rsidRPr="0033577D" w:rsidRDefault="00673B40" w:rsidP="003B52EB">
            <w:pPr>
              <w:rPr>
                <w:rFonts w:ascii="Arial" w:hAnsi="Arial" w:cs="Arial"/>
              </w:rPr>
            </w:pPr>
            <w:r w:rsidRPr="0033577D">
              <w:rPr>
                <w:rFonts w:ascii="Arial" w:hAnsi="Arial" w:cs="Arial"/>
              </w:rPr>
              <w:t>People First HA</w:t>
            </w:r>
          </w:p>
        </w:tc>
      </w:tr>
      <w:tr w:rsidR="00673B40" w:rsidRPr="0033577D" w:rsidTr="003B52EB">
        <w:tc>
          <w:tcPr>
            <w:tcW w:w="4508" w:type="dxa"/>
          </w:tcPr>
          <w:p w:rsidR="00673B40" w:rsidRPr="0033577D" w:rsidRDefault="00673B40" w:rsidP="003B52EB">
            <w:pPr>
              <w:rPr>
                <w:rFonts w:ascii="Arial" w:hAnsi="Arial" w:cs="Arial"/>
              </w:rPr>
            </w:pPr>
            <w:r w:rsidRPr="0033577D">
              <w:rPr>
                <w:rFonts w:ascii="Arial" w:hAnsi="Arial" w:cs="Arial"/>
              </w:rPr>
              <w:t>Acron HA</w:t>
            </w:r>
          </w:p>
        </w:tc>
        <w:tc>
          <w:tcPr>
            <w:tcW w:w="4508" w:type="dxa"/>
          </w:tcPr>
          <w:p w:rsidR="00673B40" w:rsidRPr="0033577D" w:rsidRDefault="00673B40" w:rsidP="003B52EB">
            <w:pPr>
              <w:rPr>
                <w:rFonts w:ascii="Arial" w:hAnsi="Arial" w:cs="Arial"/>
              </w:rPr>
            </w:pPr>
            <w:r w:rsidRPr="0033577D">
              <w:rPr>
                <w:rFonts w:ascii="Arial" w:hAnsi="Arial" w:cs="Arial"/>
              </w:rPr>
              <w:t>Pioneer NW HA</w:t>
            </w:r>
          </w:p>
        </w:tc>
      </w:tr>
      <w:tr w:rsidR="00673B40" w:rsidRPr="0033577D" w:rsidTr="003B52EB">
        <w:tc>
          <w:tcPr>
            <w:tcW w:w="4508" w:type="dxa"/>
          </w:tcPr>
          <w:p w:rsidR="00673B40" w:rsidRPr="0033577D" w:rsidRDefault="00673B40" w:rsidP="003B52EB">
            <w:pPr>
              <w:rPr>
                <w:rFonts w:ascii="Arial" w:hAnsi="Arial" w:cs="Arial"/>
              </w:rPr>
            </w:pPr>
            <w:r w:rsidRPr="0033577D">
              <w:rPr>
                <w:rFonts w:ascii="Arial" w:hAnsi="Arial" w:cs="Arial"/>
              </w:rPr>
              <w:t>Ashton Pioneer HA</w:t>
            </w:r>
          </w:p>
        </w:tc>
        <w:tc>
          <w:tcPr>
            <w:tcW w:w="4508" w:type="dxa"/>
          </w:tcPr>
          <w:p w:rsidR="00673B40" w:rsidRPr="0033577D" w:rsidRDefault="00673B40" w:rsidP="003B52EB">
            <w:pPr>
              <w:rPr>
                <w:rFonts w:ascii="Arial" w:hAnsi="Arial" w:cs="Arial"/>
              </w:rPr>
            </w:pPr>
            <w:r w:rsidRPr="0033577D">
              <w:rPr>
                <w:rFonts w:ascii="Arial" w:hAnsi="Arial" w:cs="Arial"/>
              </w:rPr>
              <w:t>Prima Group – Pierhead HA</w:t>
            </w:r>
          </w:p>
        </w:tc>
      </w:tr>
      <w:tr w:rsidR="00673B40" w:rsidRPr="0033577D" w:rsidTr="003B52EB">
        <w:tc>
          <w:tcPr>
            <w:tcW w:w="4508" w:type="dxa"/>
          </w:tcPr>
          <w:p w:rsidR="00673B40" w:rsidRPr="0033577D" w:rsidRDefault="00673B40" w:rsidP="003B52EB">
            <w:pPr>
              <w:rPr>
                <w:rFonts w:ascii="Arial" w:hAnsi="Arial" w:cs="Arial"/>
              </w:rPr>
            </w:pPr>
            <w:r w:rsidRPr="0033577D">
              <w:rPr>
                <w:rFonts w:ascii="Arial" w:hAnsi="Arial" w:cs="Arial"/>
              </w:rPr>
              <w:t>Crosby Homes HA</w:t>
            </w:r>
          </w:p>
        </w:tc>
        <w:tc>
          <w:tcPr>
            <w:tcW w:w="4508" w:type="dxa"/>
          </w:tcPr>
          <w:p w:rsidR="00673B40" w:rsidRPr="0033577D" w:rsidRDefault="00673B40" w:rsidP="003B52EB">
            <w:pPr>
              <w:rPr>
                <w:rFonts w:ascii="Arial" w:hAnsi="Arial" w:cs="Arial"/>
              </w:rPr>
            </w:pPr>
            <w:r w:rsidRPr="0033577D">
              <w:rPr>
                <w:rFonts w:ascii="Arial" w:hAnsi="Arial" w:cs="Arial"/>
              </w:rPr>
              <w:t>Prima Group - Leasowe CH HA</w:t>
            </w:r>
          </w:p>
        </w:tc>
      </w:tr>
      <w:tr w:rsidR="00673B40" w:rsidRPr="0033577D" w:rsidTr="003B52EB">
        <w:tc>
          <w:tcPr>
            <w:tcW w:w="4508" w:type="dxa"/>
          </w:tcPr>
          <w:p w:rsidR="00673B40" w:rsidRPr="0033577D" w:rsidRDefault="00673B40" w:rsidP="003B52EB">
            <w:pPr>
              <w:rPr>
                <w:rFonts w:ascii="Arial" w:hAnsi="Arial" w:cs="Arial"/>
              </w:rPr>
            </w:pPr>
            <w:r w:rsidRPr="0033577D">
              <w:rPr>
                <w:rFonts w:ascii="Arial" w:hAnsi="Arial" w:cs="Arial"/>
              </w:rPr>
              <w:t>Eldonians Community Based HA</w:t>
            </w:r>
          </w:p>
        </w:tc>
        <w:tc>
          <w:tcPr>
            <w:tcW w:w="4508" w:type="dxa"/>
          </w:tcPr>
          <w:p w:rsidR="00673B40" w:rsidRPr="0033577D" w:rsidRDefault="00673B40" w:rsidP="003B52EB">
            <w:pPr>
              <w:rPr>
                <w:rFonts w:ascii="Arial" w:hAnsi="Arial" w:cs="Arial"/>
              </w:rPr>
            </w:pPr>
            <w:r w:rsidRPr="0033577D">
              <w:rPr>
                <w:rFonts w:ascii="Arial" w:hAnsi="Arial" w:cs="Arial"/>
              </w:rPr>
              <w:t>Warrington HA</w:t>
            </w:r>
          </w:p>
        </w:tc>
      </w:tr>
      <w:tr w:rsidR="00673B40" w:rsidRPr="0033577D" w:rsidTr="003B52EB">
        <w:tc>
          <w:tcPr>
            <w:tcW w:w="4508" w:type="dxa"/>
          </w:tcPr>
          <w:p w:rsidR="00673B40" w:rsidRPr="0033577D" w:rsidRDefault="00673B40" w:rsidP="003B52EB">
            <w:pPr>
              <w:rPr>
                <w:rFonts w:ascii="Arial" w:hAnsi="Arial" w:cs="Arial"/>
              </w:rPr>
            </w:pPr>
            <w:r w:rsidRPr="0033577D">
              <w:rPr>
                <w:rFonts w:ascii="Arial" w:hAnsi="Arial" w:cs="Arial"/>
              </w:rPr>
              <w:t>Family HA</w:t>
            </w:r>
          </w:p>
        </w:tc>
        <w:tc>
          <w:tcPr>
            <w:tcW w:w="4508" w:type="dxa"/>
          </w:tcPr>
          <w:p w:rsidR="00673B40" w:rsidRPr="0033577D" w:rsidRDefault="00673B40" w:rsidP="003B52EB">
            <w:pPr>
              <w:rPr>
                <w:rFonts w:ascii="Arial" w:hAnsi="Arial" w:cs="Arial"/>
              </w:rPr>
            </w:pPr>
            <w:r w:rsidRPr="0033577D">
              <w:rPr>
                <w:rFonts w:ascii="Arial" w:hAnsi="Arial" w:cs="Arial"/>
              </w:rPr>
              <w:t>Wirral Methodist HA</w:t>
            </w:r>
          </w:p>
        </w:tc>
      </w:tr>
    </w:tbl>
    <w:p w:rsidR="00673B40" w:rsidRDefault="00673B40" w:rsidP="00673B40">
      <w:pPr>
        <w:rPr>
          <w:rFonts w:ascii="Arial" w:hAnsi="Arial" w:cs="Arial"/>
        </w:rPr>
      </w:pPr>
    </w:p>
    <w:p w:rsidR="009C5D36" w:rsidRDefault="009C5D36" w:rsidP="00673B40">
      <w:pPr>
        <w:rPr>
          <w:rFonts w:ascii="Arial" w:hAnsi="Arial" w:cs="Arial"/>
        </w:rPr>
      </w:pPr>
    </w:p>
    <w:p w:rsidR="009C5D36" w:rsidRDefault="009C5D36" w:rsidP="00673B40">
      <w:pPr>
        <w:rPr>
          <w:rFonts w:ascii="Arial" w:hAnsi="Arial" w:cs="Arial"/>
        </w:rPr>
      </w:pPr>
    </w:p>
    <w:p w:rsidR="009C5D36" w:rsidRPr="0033577D" w:rsidRDefault="009C5D36" w:rsidP="00673B40">
      <w:pPr>
        <w:rPr>
          <w:rFonts w:ascii="Arial" w:hAnsi="Arial" w:cs="Arial"/>
        </w:rPr>
      </w:pPr>
    </w:p>
    <w:p w:rsidR="00673B40" w:rsidRDefault="00673B40" w:rsidP="00673B40">
      <w:pPr>
        <w:rPr>
          <w:rFonts w:ascii="Arial" w:hAnsi="Arial" w:cs="Arial"/>
          <w:b/>
        </w:rPr>
      </w:pPr>
      <w:r w:rsidRPr="0033577D">
        <w:rPr>
          <w:rFonts w:ascii="Arial" w:hAnsi="Arial" w:cs="Arial"/>
          <w:b/>
        </w:rPr>
        <w:lastRenderedPageBreak/>
        <w:t>Business health</w:t>
      </w:r>
    </w:p>
    <w:p w:rsidR="00A6194A" w:rsidRPr="0033577D" w:rsidRDefault="00A6194A" w:rsidP="00673B40">
      <w:pPr>
        <w:rPr>
          <w:rFonts w:ascii="Arial" w:hAnsi="Arial" w:cs="Arial"/>
          <w:b/>
        </w:rPr>
      </w:pPr>
    </w:p>
    <w:p w:rsidR="00673B40" w:rsidRDefault="00673B40" w:rsidP="00673B40">
      <w:pPr>
        <w:rPr>
          <w:rFonts w:ascii="Arial" w:hAnsi="Arial" w:cs="Arial"/>
        </w:rPr>
      </w:pPr>
      <w:r w:rsidRPr="0033577D">
        <w:rPr>
          <w:rFonts w:ascii="Arial" w:hAnsi="Arial" w:cs="Arial"/>
        </w:rPr>
        <w:t>The Associations operating margin currently stands at 16.20%.  SBHA has 265 units and forecast 276 units by year end 2019.  Our Business Plan shows a period of growth at 10 units per year to enable us to gain critical mass to reduce our costs per unit.</w:t>
      </w:r>
    </w:p>
    <w:p w:rsidR="00A6194A" w:rsidRPr="0033577D" w:rsidRDefault="00A6194A" w:rsidP="00673B40">
      <w:pPr>
        <w:rPr>
          <w:rFonts w:ascii="Arial" w:hAnsi="Arial" w:cs="Arial"/>
        </w:rPr>
      </w:pPr>
    </w:p>
    <w:p w:rsidR="00673B40" w:rsidRDefault="00673B40" w:rsidP="00673B40">
      <w:pPr>
        <w:rPr>
          <w:rFonts w:ascii="Arial" w:hAnsi="Arial" w:cs="Arial"/>
          <w:b/>
        </w:rPr>
      </w:pPr>
      <w:r w:rsidRPr="0033577D">
        <w:rPr>
          <w:rFonts w:ascii="Arial" w:hAnsi="Arial" w:cs="Arial"/>
          <w:b/>
        </w:rPr>
        <w:t>Operating Efficiencies</w:t>
      </w:r>
    </w:p>
    <w:p w:rsidR="00A6194A" w:rsidRPr="0033577D" w:rsidRDefault="00A6194A" w:rsidP="00673B40">
      <w:pPr>
        <w:rPr>
          <w:rFonts w:ascii="Arial" w:hAnsi="Arial" w:cs="Arial"/>
          <w:b/>
        </w:rPr>
      </w:pPr>
    </w:p>
    <w:p w:rsidR="00673B40" w:rsidRPr="0033577D" w:rsidRDefault="00673B40" w:rsidP="00673B40">
      <w:pPr>
        <w:rPr>
          <w:rFonts w:ascii="Arial" w:hAnsi="Arial" w:cs="Arial"/>
        </w:rPr>
      </w:pPr>
      <w:r w:rsidRPr="0033577D">
        <w:rPr>
          <w:rFonts w:ascii="Arial" w:hAnsi="Arial" w:cs="Arial"/>
        </w:rPr>
        <w:t>The Associations headline social housing costs per unit are currently just over £4,000 per unit.  The Association provides an intensive housing management service delivering services in very challenging neighbourhoods.  Our size exacerbates the high cost per unit.  The Associations growth strategy together with efficiencies will see a reduction in our headline social housing costs per unit.</w:t>
      </w:r>
    </w:p>
    <w:p w:rsidR="00673B40" w:rsidRDefault="00673B40" w:rsidP="00673B40">
      <w:pPr>
        <w:rPr>
          <w:rFonts w:ascii="Arial" w:hAnsi="Arial" w:cs="Arial"/>
        </w:rPr>
      </w:pPr>
      <w:r w:rsidRPr="0033577D">
        <w:rPr>
          <w:rFonts w:ascii="Arial" w:hAnsi="Arial" w:cs="Arial"/>
        </w:rPr>
        <w:t>One of the results of our intensive housing management service is achieving circa 100% rent collection rates at a time when welfare reform is having a major impact upon our tenants and the communities in which we work.  Princes Park Ward were the majority of our homes are situated has 23% of its wards within the 1% most deprived of the country; 69% of Ward in 10% most deprived wards nationally.</w:t>
      </w:r>
    </w:p>
    <w:p w:rsidR="00A6194A" w:rsidRDefault="00A6194A" w:rsidP="00673B40">
      <w:pPr>
        <w:rPr>
          <w:rFonts w:ascii="Arial" w:hAnsi="Arial" w:cs="Arial"/>
        </w:rPr>
      </w:pPr>
    </w:p>
    <w:p w:rsidR="00A6194A" w:rsidRDefault="00A6194A" w:rsidP="00673B40">
      <w:pPr>
        <w:rPr>
          <w:rFonts w:ascii="Arial" w:hAnsi="Arial" w:cs="Arial"/>
        </w:rPr>
      </w:pPr>
    </w:p>
    <w:p w:rsidR="00673B40" w:rsidRDefault="00673B40" w:rsidP="00673B40">
      <w:pPr>
        <w:rPr>
          <w:rFonts w:ascii="Arial" w:hAnsi="Arial" w:cs="Arial"/>
          <w:b/>
        </w:rPr>
      </w:pPr>
      <w:r w:rsidRPr="0033577D">
        <w:rPr>
          <w:rFonts w:ascii="Arial" w:hAnsi="Arial" w:cs="Arial"/>
          <w:b/>
        </w:rPr>
        <w:t>Effective Asset Management</w:t>
      </w:r>
    </w:p>
    <w:p w:rsidR="00A6194A" w:rsidRPr="0033577D" w:rsidRDefault="00A6194A" w:rsidP="00673B40">
      <w:pPr>
        <w:rPr>
          <w:rFonts w:ascii="Arial" w:hAnsi="Arial" w:cs="Arial"/>
          <w:b/>
        </w:rPr>
      </w:pPr>
    </w:p>
    <w:p w:rsidR="00673B40" w:rsidRDefault="00673B40" w:rsidP="00673B40">
      <w:pPr>
        <w:rPr>
          <w:rFonts w:ascii="Arial" w:hAnsi="Arial" w:cs="Arial"/>
        </w:rPr>
      </w:pPr>
      <w:r w:rsidRPr="0033577D">
        <w:rPr>
          <w:rFonts w:ascii="Arial" w:hAnsi="Arial" w:cs="Arial"/>
        </w:rPr>
        <w:t>Return on capital employed is currently low, we anticipate that this figure will increase as the associations growth strategy of developing 10 units per year is realised.</w:t>
      </w:r>
    </w:p>
    <w:p w:rsidR="00A6194A" w:rsidRPr="0033577D" w:rsidRDefault="00A6194A" w:rsidP="00673B40">
      <w:pPr>
        <w:rPr>
          <w:rFonts w:ascii="Arial" w:hAnsi="Arial" w:cs="Arial"/>
        </w:rPr>
      </w:pPr>
    </w:p>
    <w:p w:rsidR="00673B40" w:rsidRDefault="00673B40" w:rsidP="00673B40">
      <w:pPr>
        <w:rPr>
          <w:rFonts w:ascii="Arial" w:hAnsi="Arial" w:cs="Arial"/>
        </w:rPr>
      </w:pPr>
      <w:r w:rsidRPr="0033577D">
        <w:rPr>
          <w:rFonts w:ascii="Arial" w:hAnsi="Arial" w:cs="Arial"/>
        </w:rPr>
        <w:t>Occupancy levels at Steve Biko Housing Association achieved 98% occupancy rates which is very high levels of occupancy, reflecting our intensive and housing management service.</w:t>
      </w:r>
    </w:p>
    <w:p w:rsidR="00A6194A" w:rsidRPr="0033577D" w:rsidRDefault="00A6194A" w:rsidP="00673B40">
      <w:pPr>
        <w:rPr>
          <w:rFonts w:ascii="Arial" w:hAnsi="Arial" w:cs="Arial"/>
        </w:rPr>
      </w:pPr>
    </w:p>
    <w:p w:rsidR="00673B40" w:rsidRPr="0033577D" w:rsidRDefault="00673B40" w:rsidP="00673B40">
      <w:pPr>
        <w:rPr>
          <w:rFonts w:ascii="Arial" w:hAnsi="Arial" w:cs="Arial"/>
        </w:rPr>
      </w:pPr>
      <w:r w:rsidRPr="0033577D">
        <w:rPr>
          <w:rFonts w:ascii="Arial" w:hAnsi="Arial" w:cs="Arial"/>
        </w:rPr>
        <w:t>Ratio of responsive repairs expenditure to planned spend is 0.68% which is comparable to our NW housing association peers.</w:t>
      </w:r>
    </w:p>
    <w:p w:rsidR="00673B40" w:rsidRDefault="00673B40" w:rsidP="00673B40">
      <w:pPr>
        <w:rPr>
          <w:rFonts w:ascii="Arial" w:hAnsi="Arial" w:cs="Arial"/>
        </w:rPr>
      </w:pPr>
    </w:p>
    <w:p w:rsidR="00673B40" w:rsidRPr="0033577D" w:rsidRDefault="00673B40" w:rsidP="00673B40">
      <w:pPr>
        <w:rPr>
          <w:rFonts w:ascii="Arial" w:hAnsi="Arial" w:cs="Arial"/>
        </w:rPr>
      </w:pPr>
    </w:p>
    <w:p w:rsidR="00673B40" w:rsidRDefault="00673B40" w:rsidP="00673B40">
      <w:pPr>
        <w:rPr>
          <w:rFonts w:ascii="Arial" w:hAnsi="Arial" w:cs="Arial"/>
          <w:b/>
        </w:rPr>
      </w:pPr>
      <w:r w:rsidRPr="0033577D">
        <w:rPr>
          <w:rFonts w:ascii="Arial" w:hAnsi="Arial" w:cs="Arial"/>
          <w:b/>
        </w:rPr>
        <w:t>Development Capacity &amp; Supply</w:t>
      </w:r>
    </w:p>
    <w:p w:rsidR="00A6194A" w:rsidRPr="0033577D" w:rsidRDefault="00A6194A" w:rsidP="00673B40">
      <w:pPr>
        <w:rPr>
          <w:rFonts w:ascii="Arial" w:hAnsi="Arial" w:cs="Arial"/>
          <w:b/>
        </w:rPr>
      </w:pPr>
    </w:p>
    <w:p w:rsidR="00673B40" w:rsidRPr="0033577D" w:rsidRDefault="00673B40" w:rsidP="00673B40">
      <w:pPr>
        <w:rPr>
          <w:rFonts w:ascii="Arial" w:hAnsi="Arial" w:cs="Arial"/>
        </w:rPr>
      </w:pPr>
      <w:r w:rsidRPr="0033577D">
        <w:rPr>
          <w:rFonts w:ascii="Arial" w:hAnsi="Arial" w:cs="Arial"/>
        </w:rPr>
        <w:t>Whilst we have not completed any ‘new supply’ developments, SBHA is undertaking the significant refurbishment of two large villas, 5 units and are on site, a further 4 units are due to be completed in November 2018.  Both properties are a result of stock transfer, and had been vacant for many years. We therefore have brought these properties back in to use, helped with solving blight in a neighbourhood and kept 9 units in the social housing sector whilst meeting our own growth strategy.</w:t>
      </w:r>
    </w:p>
    <w:p w:rsidR="00673B40" w:rsidRDefault="00673B40" w:rsidP="00673B40">
      <w:pPr>
        <w:rPr>
          <w:rFonts w:ascii="Arial" w:hAnsi="Arial" w:cs="Arial"/>
        </w:rPr>
      </w:pPr>
      <w:r w:rsidRPr="0033577D">
        <w:rPr>
          <w:rFonts w:ascii="Arial" w:hAnsi="Arial" w:cs="Arial"/>
        </w:rPr>
        <w:t>Our gearing levels have increased from 19% to 21%.  This reflects the use of our existing resources to fund the refurbishment of empty properties as they have become available.</w:t>
      </w:r>
    </w:p>
    <w:p w:rsidR="00673B40" w:rsidRDefault="00673B40" w:rsidP="00673B40">
      <w:pPr>
        <w:rPr>
          <w:rFonts w:ascii="Arial" w:hAnsi="Arial" w:cs="Arial"/>
        </w:rPr>
      </w:pPr>
    </w:p>
    <w:p w:rsidR="009C5D36" w:rsidRPr="0033577D" w:rsidRDefault="009C5D36" w:rsidP="00673B40">
      <w:pPr>
        <w:rPr>
          <w:rFonts w:ascii="Arial" w:hAnsi="Arial" w:cs="Arial"/>
        </w:rPr>
      </w:pPr>
    </w:p>
    <w:p w:rsidR="009C5D36" w:rsidRDefault="009C5D36" w:rsidP="00673B40">
      <w:pPr>
        <w:rPr>
          <w:rFonts w:ascii="Arial" w:hAnsi="Arial" w:cs="Arial"/>
          <w:b/>
        </w:rPr>
      </w:pPr>
    </w:p>
    <w:p w:rsidR="009C5D36" w:rsidRDefault="009C5D36" w:rsidP="00673B40">
      <w:pPr>
        <w:rPr>
          <w:rFonts w:ascii="Arial" w:hAnsi="Arial" w:cs="Arial"/>
          <w:b/>
        </w:rPr>
      </w:pPr>
    </w:p>
    <w:p w:rsidR="00673B40" w:rsidRDefault="00673B40" w:rsidP="00673B40">
      <w:pPr>
        <w:rPr>
          <w:rFonts w:ascii="Arial" w:hAnsi="Arial" w:cs="Arial"/>
          <w:b/>
        </w:rPr>
      </w:pPr>
      <w:r w:rsidRPr="0033577D">
        <w:rPr>
          <w:rFonts w:ascii="Arial" w:hAnsi="Arial" w:cs="Arial"/>
          <w:b/>
        </w:rPr>
        <w:lastRenderedPageBreak/>
        <w:t>Outcomes Delivered</w:t>
      </w:r>
    </w:p>
    <w:p w:rsidR="00673B40" w:rsidRPr="0033577D" w:rsidRDefault="00673B40" w:rsidP="00673B40">
      <w:pPr>
        <w:rPr>
          <w:rFonts w:ascii="Arial" w:hAnsi="Arial" w:cs="Arial"/>
          <w:b/>
        </w:rPr>
      </w:pPr>
    </w:p>
    <w:p w:rsidR="00673B40" w:rsidRDefault="00673B40" w:rsidP="00673B40">
      <w:pPr>
        <w:rPr>
          <w:rFonts w:ascii="Arial" w:hAnsi="Arial" w:cs="Arial"/>
        </w:rPr>
      </w:pPr>
      <w:r w:rsidRPr="0033577D">
        <w:rPr>
          <w:rFonts w:ascii="Arial" w:hAnsi="Arial" w:cs="Arial"/>
        </w:rPr>
        <w:t>Our last full STAR Survey was undertaken in 2015.  Customer Satisfaction by tenants that their rent provided value for money was at 84%.  We are currently conducting a full star survey summer 2018.</w:t>
      </w:r>
    </w:p>
    <w:p w:rsidR="00A6194A" w:rsidRPr="0033577D" w:rsidRDefault="00A6194A" w:rsidP="00673B40">
      <w:pPr>
        <w:rPr>
          <w:rFonts w:ascii="Arial" w:hAnsi="Arial" w:cs="Arial"/>
        </w:rPr>
      </w:pPr>
    </w:p>
    <w:p w:rsidR="00673B40" w:rsidRDefault="00673B40" w:rsidP="00673B40">
      <w:pPr>
        <w:rPr>
          <w:rFonts w:ascii="Arial" w:hAnsi="Arial" w:cs="Arial"/>
        </w:rPr>
      </w:pPr>
      <w:r w:rsidRPr="0033577D">
        <w:rPr>
          <w:rFonts w:ascii="Arial" w:hAnsi="Arial" w:cs="Arial"/>
        </w:rPr>
        <w:t>We currently spend 2.7p in each £ on tenant participation and community regeneration activities this expenditure enables the association to deliver against its vision and mission.</w:t>
      </w:r>
    </w:p>
    <w:p w:rsidR="00673B40" w:rsidRPr="0033577D" w:rsidRDefault="00673B40" w:rsidP="00673B40">
      <w:pPr>
        <w:rPr>
          <w:rFonts w:ascii="Arial" w:hAnsi="Arial" w:cs="Arial"/>
        </w:rPr>
      </w:pPr>
    </w:p>
    <w:p w:rsidR="00673B40" w:rsidRDefault="00673B40" w:rsidP="00673B40">
      <w:pPr>
        <w:rPr>
          <w:rFonts w:ascii="Arial" w:hAnsi="Arial" w:cs="Arial"/>
        </w:rPr>
      </w:pPr>
      <w:r w:rsidRPr="0033577D">
        <w:rPr>
          <w:rFonts w:ascii="Arial" w:hAnsi="Arial" w:cs="Arial"/>
        </w:rPr>
        <w:t xml:space="preserve">SBHA has a target of achieving 45% of our lettings to BME people.  This target is set to reflect the 45% BME population in Princes Park and Picton wards, the main wards in which we operate.  </w:t>
      </w:r>
    </w:p>
    <w:p w:rsidR="00673B40" w:rsidRPr="0033577D" w:rsidRDefault="00673B40" w:rsidP="00673B40">
      <w:pPr>
        <w:rPr>
          <w:rFonts w:ascii="Arial" w:hAnsi="Arial" w:cs="Arial"/>
        </w:rPr>
      </w:pPr>
    </w:p>
    <w:p w:rsidR="00673B40" w:rsidRDefault="00673B40" w:rsidP="00673B40">
      <w:pPr>
        <w:rPr>
          <w:rFonts w:ascii="Arial" w:hAnsi="Arial" w:cs="Arial"/>
        </w:rPr>
      </w:pPr>
      <w:r w:rsidRPr="0033577D">
        <w:rPr>
          <w:rFonts w:ascii="Arial" w:hAnsi="Arial" w:cs="Arial"/>
        </w:rPr>
        <w:t>Our successful performance against these new metrics is highlighted in the table below.</w:t>
      </w:r>
    </w:p>
    <w:p w:rsidR="00673B40" w:rsidRPr="0033577D" w:rsidRDefault="00673B40" w:rsidP="00673B40">
      <w:pPr>
        <w:rPr>
          <w:rFonts w:ascii="Arial" w:hAnsi="Arial" w:cs="Arial"/>
        </w:rPr>
      </w:pPr>
    </w:p>
    <w:p w:rsidR="00673B40" w:rsidRDefault="00673B40" w:rsidP="00673B40">
      <w:pPr>
        <w:rPr>
          <w:rFonts w:ascii="Arial" w:hAnsi="Arial" w:cs="Arial"/>
          <w:b/>
        </w:rPr>
      </w:pPr>
      <w:r w:rsidRPr="0033577D">
        <w:rPr>
          <w:rFonts w:ascii="Arial" w:hAnsi="Arial" w:cs="Arial"/>
          <w:b/>
        </w:rPr>
        <w:t xml:space="preserve">Benchmarking </w:t>
      </w:r>
    </w:p>
    <w:p w:rsidR="00A6194A" w:rsidRPr="0033577D" w:rsidRDefault="00A6194A" w:rsidP="00673B40">
      <w:pPr>
        <w:rPr>
          <w:rFonts w:ascii="Arial" w:hAnsi="Arial" w:cs="Arial"/>
          <w:b/>
        </w:rPr>
      </w:pPr>
    </w:p>
    <w:p w:rsidR="00673B40" w:rsidRPr="0033577D" w:rsidRDefault="00673B40" w:rsidP="00673B40">
      <w:pPr>
        <w:rPr>
          <w:rFonts w:ascii="Arial" w:hAnsi="Arial" w:cs="Arial"/>
        </w:rPr>
      </w:pPr>
      <w:r w:rsidRPr="0033577D">
        <w:rPr>
          <w:rFonts w:ascii="Arial" w:hAnsi="Arial" w:cs="Arial"/>
        </w:rPr>
        <w:t>SBHA is part of the Acuity NW Benchmarking Group that oversees the collection of data.  This report uses the data taken from NW Acuity Benchmarking Group It is our intention for 2018/19 to explore benchmark against Housing Associations in inner city areas in the north of the country that have between 250-500 units.  This will enable a more realistic comparison against associations that are nearer to our own size.</w:t>
      </w:r>
    </w:p>
    <w:p w:rsidR="00673B40" w:rsidRDefault="00673B40" w:rsidP="00440C6C">
      <w:pPr>
        <w:rPr>
          <w:rFonts w:ascii="Arial" w:hAnsi="Arial" w:cs="Arial"/>
        </w:rPr>
      </w:pPr>
    </w:p>
    <w:p w:rsidR="00673B40" w:rsidRDefault="00673B40" w:rsidP="00440C6C">
      <w:pPr>
        <w:rPr>
          <w:rFonts w:ascii="Arial" w:hAnsi="Arial" w:cs="Arial"/>
        </w:rPr>
      </w:pPr>
    </w:p>
    <w:p w:rsidR="00673B40" w:rsidRDefault="00673B40" w:rsidP="00440C6C">
      <w:pPr>
        <w:rPr>
          <w:rFonts w:ascii="Arial" w:hAnsi="Arial" w:cs="Arial"/>
        </w:rPr>
      </w:pPr>
    </w:p>
    <w:p w:rsidR="00673B40" w:rsidRDefault="00673B40" w:rsidP="00440C6C">
      <w:pPr>
        <w:rPr>
          <w:rFonts w:ascii="Arial" w:hAnsi="Arial" w:cs="Arial"/>
        </w:rPr>
      </w:pPr>
    </w:p>
    <w:p w:rsidR="003B3801" w:rsidRPr="003B1E4C" w:rsidRDefault="008A414E" w:rsidP="00440C6C">
      <w:pPr>
        <w:rPr>
          <w:rFonts w:ascii="Arial" w:hAnsi="Arial" w:cs="Arial"/>
          <w:b/>
        </w:rPr>
      </w:pPr>
      <w:r>
        <w:rPr>
          <w:rFonts w:ascii="Arial" w:hAnsi="Arial" w:cs="Arial"/>
          <w:noProof/>
          <w:lang w:eastAsia="en-GB"/>
        </w:rPr>
        <w:drawing>
          <wp:anchor distT="0" distB="0" distL="114300" distR="114300" simplePos="0" relativeHeight="251672576" behindDoc="1" locked="0" layoutInCell="1" allowOverlap="1">
            <wp:simplePos x="0" y="0"/>
            <wp:positionH relativeFrom="margin">
              <wp:align>left</wp:align>
            </wp:positionH>
            <wp:positionV relativeFrom="paragraph">
              <wp:posOffset>3810</wp:posOffset>
            </wp:positionV>
            <wp:extent cx="2514600" cy="29502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248091_746650122171708_7399467972128702979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0" cy="2950210"/>
                    </a:xfrm>
                    <a:prstGeom prst="rect">
                      <a:avLst/>
                    </a:prstGeom>
                  </pic:spPr>
                </pic:pic>
              </a:graphicData>
            </a:graphic>
            <wp14:sizeRelH relativeFrom="margin">
              <wp14:pctWidth>0</wp14:pctWidth>
            </wp14:sizeRelH>
            <wp14:sizeRelV relativeFrom="margin">
              <wp14:pctHeight>0</wp14:pctHeight>
            </wp14:sizeRelV>
          </wp:anchor>
        </w:drawing>
      </w:r>
      <w:r w:rsidR="003B3801" w:rsidRPr="003B1E4C">
        <w:rPr>
          <w:rFonts w:ascii="Arial" w:hAnsi="Arial" w:cs="Arial"/>
          <w:b/>
        </w:rPr>
        <w:t>Diversity.</w:t>
      </w:r>
    </w:p>
    <w:p w:rsidR="003B3801" w:rsidRPr="003B1E4C" w:rsidRDefault="003B3801" w:rsidP="00440C6C">
      <w:pPr>
        <w:rPr>
          <w:rFonts w:ascii="Arial" w:hAnsi="Arial" w:cs="Arial"/>
        </w:rPr>
      </w:pPr>
    </w:p>
    <w:p w:rsidR="0049377B" w:rsidRPr="003B1E4C" w:rsidRDefault="003804CC" w:rsidP="00440C6C">
      <w:pPr>
        <w:rPr>
          <w:rFonts w:ascii="Arial" w:hAnsi="Arial" w:cs="Arial"/>
        </w:rPr>
      </w:pPr>
      <w:r w:rsidRPr="003B1E4C">
        <w:rPr>
          <w:rFonts w:ascii="Arial" w:hAnsi="Arial" w:cs="Arial"/>
        </w:rPr>
        <w:t>We will continue to promote the exper</w:t>
      </w:r>
      <w:r w:rsidR="000B5B6B" w:rsidRPr="003B1E4C">
        <w:rPr>
          <w:rFonts w:ascii="Arial" w:hAnsi="Arial" w:cs="Arial"/>
        </w:rPr>
        <w:t>iences of BME Communities at</w:t>
      </w:r>
      <w:r w:rsidRPr="003B1E4C">
        <w:rPr>
          <w:rFonts w:ascii="Arial" w:hAnsi="Arial" w:cs="Arial"/>
        </w:rPr>
        <w:t xml:space="preserve"> local, regional and national levels, we are currently able to do this by playing an active part at a local level in Liverpool’s </w:t>
      </w:r>
      <w:r w:rsidR="00A6194A">
        <w:rPr>
          <w:rFonts w:ascii="Arial" w:hAnsi="Arial" w:cs="Arial"/>
        </w:rPr>
        <w:t xml:space="preserve">City Region </w:t>
      </w:r>
      <w:r w:rsidRPr="003B1E4C">
        <w:rPr>
          <w:rFonts w:ascii="Arial" w:hAnsi="Arial" w:cs="Arial"/>
        </w:rPr>
        <w:t xml:space="preserve">Strategic Housing Partnership, </w:t>
      </w:r>
      <w:r w:rsidR="00A6194A">
        <w:rPr>
          <w:rFonts w:ascii="Arial" w:hAnsi="Arial" w:cs="Arial"/>
        </w:rPr>
        <w:t>LCR Operations Group, LCR Equalities in Housing Group</w:t>
      </w:r>
      <w:r w:rsidRPr="003B1E4C">
        <w:rPr>
          <w:rFonts w:ascii="Arial" w:hAnsi="Arial" w:cs="Arial"/>
        </w:rPr>
        <w:t xml:space="preserve">, </w:t>
      </w:r>
      <w:r w:rsidR="00A6194A">
        <w:rPr>
          <w:rFonts w:ascii="Arial" w:hAnsi="Arial" w:cs="Arial"/>
        </w:rPr>
        <w:t xml:space="preserve">City Safe Partnership Board, L8 Disarm Group, </w:t>
      </w:r>
      <w:r w:rsidRPr="003B1E4C">
        <w:rPr>
          <w:rFonts w:ascii="Arial" w:hAnsi="Arial" w:cs="Arial"/>
        </w:rPr>
        <w:t xml:space="preserve">National Housing Federation North West Regional Chief Executives Forum, BME National </w:t>
      </w:r>
      <w:r w:rsidR="003B3801" w:rsidRPr="003B1E4C">
        <w:rPr>
          <w:rFonts w:ascii="Arial" w:hAnsi="Arial" w:cs="Arial"/>
        </w:rPr>
        <w:t>and Liv</w:t>
      </w:r>
      <w:r w:rsidR="0049377B" w:rsidRPr="003B1E4C">
        <w:rPr>
          <w:rFonts w:ascii="Arial" w:hAnsi="Arial" w:cs="Arial"/>
        </w:rPr>
        <w:t>erpool’s Strategic Panel on Community Cohesion</w:t>
      </w:r>
      <w:r w:rsidR="00A6194A">
        <w:rPr>
          <w:rFonts w:ascii="Arial" w:hAnsi="Arial" w:cs="Arial"/>
        </w:rPr>
        <w:t xml:space="preserve"> and LCR Fairness and Social Justice Advisory Board.</w:t>
      </w:r>
    </w:p>
    <w:p w:rsidR="0049377B" w:rsidRDefault="0049377B" w:rsidP="00440C6C">
      <w:pPr>
        <w:rPr>
          <w:rFonts w:ascii="Arial" w:hAnsi="Arial" w:cs="Arial"/>
        </w:rPr>
      </w:pPr>
    </w:p>
    <w:p w:rsidR="008A414E" w:rsidRDefault="008A414E" w:rsidP="00440C6C">
      <w:pPr>
        <w:rPr>
          <w:rFonts w:ascii="Arial" w:hAnsi="Arial" w:cs="Arial"/>
        </w:rPr>
      </w:pPr>
    </w:p>
    <w:p w:rsidR="008A414E" w:rsidRDefault="008A414E" w:rsidP="00440C6C">
      <w:pPr>
        <w:rPr>
          <w:rFonts w:ascii="Arial" w:hAnsi="Arial" w:cs="Arial"/>
        </w:rPr>
      </w:pPr>
    </w:p>
    <w:p w:rsidR="008A414E" w:rsidRDefault="008A414E" w:rsidP="00440C6C">
      <w:pPr>
        <w:rPr>
          <w:rFonts w:ascii="Arial" w:hAnsi="Arial" w:cs="Arial"/>
        </w:rPr>
      </w:pPr>
    </w:p>
    <w:p w:rsidR="009C5D36" w:rsidRDefault="009C5D36" w:rsidP="00440C6C">
      <w:pPr>
        <w:rPr>
          <w:rFonts w:ascii="Arial" w:hAnsi="Arial" w:cs="Arial"/>
        </w:rPr>
      </w:pPr>
    </w:p>
    <w:p w:rsidR="009C5D36" w:rsidRDefault="009C5D36" w:rsidP="00440C6C">
      <w:pPr>
        <w:rPr>
          <w:rFonts w:ascii="Arial" w:hAnsi="Arial" w:cs="Arial"/>
        </w:rPr>
      </w:pPr>
    </w:p>
    <w:p w:rsidR="008A414E" w:rsidRPr="003B1E4C" w:rsidRDefault="008A414E" w:rsidP="00440C6C">
      <w:pPr>
        <w:rPr>
          <w:rFonts w:ascii="Arial" w:hAnsi="Arial" w:cs="Arial"/>
        </w:rPr>
      </w:pPr>
    </w:p>
    <w:p w:rsidR="00440C6C" w:rsidRPr="003B1E4C" w:rsidRDefault="0049377B" w:rsidP="00440C6C">
      <w:pPr>
        <w:rPr>
          <w:rFonts w:ascii="Arial" w:hAnsi="Arial" w:cs="Arial"/>
          <w:b/>
        </w:rPr>
      </w:pPr>
      <w:r w:rsidRPr="003B1E4C">
        <w:rPr>
          <w:rFonts w:ascii="Arial" w:hAnsi="Arial" w:cs="Arial"/>
          <w:b/>
        </w:rPr>
        <w:t>Your Views</w:t>
      </w:r>
      <w:r w:rsidR="003804CC" w:rsidRPr="003B1E4C">
        <w:rPr>
          <w:rFonts w:ascii="Arial" w:hAnsi="Arial" w:cs="Arial"/>
          <w:b/>
        </w:rPr>
        <w:t xml:space="preserve"> </w:t>
      </w:r>
    </w:p>
    <w:p w:rsidR="00440C6C" w:rsidRPr="003B1E4C" w:rsidRDefault="00440C6C" w:rsidP="00440C6C">
      <w:pPr>
        <w:rPr>
          <w:rFonts w:ascii="Arial" w:hAnsi="Arial" w:cs="Arial"/>
        </w:rPr>
      </w:pPr>
    </w:p>
    <w:p w:rsidR="0049377B" w:rsidRPr="003B1E4C" w:rsidRDefault="0049377B" w:rsidP="00440C6C">
      <w:pPr>
        <w:rPr>
          <w:rFonts w:ascii="Arial" w:hAnsi="Arial" w:cs="Arial"/>
        </w:rPr>
      </w:pPr>
      <w:r w:rsidRPr="003B1E4C">
        <w:rPr>
          <w:rFonts w:ascii="Arial" w:hAnsi="Arial" w:cs="Arial"/>
        </w:rPr>
        <w:t>The Board and Staff at Steve Biko Housing Association welcomes the views of all tenants on</w:t>
      </w:r>
      <w:r w:rsidR="00B15459" w:rsidRPr="003B1E4C">
        <w:rPr>
          <w:rFonts w:ascii="Arial" w:hAnsi="Arial" w:cs="Arial"/>
        </w:rPr>
        <w:t xml:space="preserve"> this report.  Please direct any comments to:</w:t>
      </w:r>
    </w:p>
    <w:p w:rsidR="00B15459" w:rsidRPr="003B1E4C" w:rsidRDefault="00B15459" w:rsidP="00440C6C">
      <w:pPr>
        <w:rPr>
          <w:rFonts w:ascii="Arial" w:hAnsi="Arial" w:cs="Arial"/>
        </w:rPr>
      </w:pPr>
    </w:p>
    <w:p w:rsidR="00B15459" w:rsidRPr="003B1E4C" w:rsidRDefault="00B15459" w:rsidP="00440C6C">
      <w:pPr>
        <w:rPr>
          <w:rFonts w:ascii="Arial" w:hAnsi="Arial" w:cs="Arial"/>
        </w:rPr>
      </w:pPr>
      <w:r w:rsidRPr="003B1E4C">
        <w:rPr>
          <w:rFonts w:ascii="Arial" w:hAnsi="Arial" w:cs="Arial"/>
        </w:rPr>
        <w:t>Tracey Gore</w:t>
      </w:r>
    </w:p>
    <w:p w:rsidR="00B15459" w:rsidRPr="003B1E4C" w:rsidRDefault="00B15459" w:rsidP="00440C6C">
      <w:pPr>
        <w:rPr>
          <w:rFonts w:ascii="Arial" w:hAnsi="Arial" w:cs="Arial"/>
        </w:rPr>
      </w:pPr>
      <w:r w:rsidRPr="003B1E4C">
        <w:rPr>
          <w:rFonts w:ascii="Arial" w:hAnsi="Arial" w:cs="Arial"/>
        </w:rPr>
        <w:t>Director</w:t>
      </w:r>
    </w:p>
    <w:p w:rsidR="00B15459" w:rsidRPr="003B1E4C" w:rsidRDefault="00B15459" w:rsidP="00440C6C">
      <w:pPr>
        <w:rPr>
          <w:rFonts w:ascii="Arial" w:hAnsi="Arial" w:cs="Arial"/>
        </w:rPr>
      </w:pPr>
      <w:r w:rsidRPr="003B1E4C">
        <w:rPr>
          <w:rFonts w:ascii="Arial" w:hAnsi="Arial" w:cs="Arial"/>
        </w:rPr>
        <w:t>3 Yanwath Street</w:t>
      </w:r>
    </w:p>
    <w:p w:rsidR="00B15459" w:rsidRPr="003B1E4C" w:rsidRDefault="00B15459" w:rsidP="00440C6C">
      <w:pPr>
        <w:rPr>
          <w:rFonts w:ascii="Arial" w:hAnsi="Arial" w:cs="Arial"/>
        </w:rPr>
      </w:pPr>
      <w:r w:rsidRPr="003B1E4C">
        <w:rPr>
          <w:rFonts w:ascii="Arial" w:hAnsi="Arial" w:cs="Arial"/>
        </w:rPr>
        <w:t>Liverpool L8 0XP</w:t>
      </w:r>
    </w:p>
    <w:p w:rsidR="00B15459" w:rsidRPr="003B1E4C" w:rsidRDefault="00B15459" w:rsidP="00440C6C">
      <w:pPr>
        <w:rPr>
          <w:rFonts w:ascii="Arial" w:hAnsi="Arial" w:cs="Arial"/>
        </w:rPr>
      </w:pPr>
      <w:r w:rsidRPr="003B1E4C">
        <w:rPr>
          <w:rFonts w:ascii="Arial" w:hAnsi="Arial" w:cs="Arial"/>
        </w:rPr>
        <w:t>Tel: 0151 734 4933</w:t>
      </w:r>
    </w:p>
    <w:p w:rsidR="00B15459" w:rsidRPr="003B1E4C" w:rsidRDefault="00B15459" w:rsidP="00440C6C">
      <w:pPr>
        <w:rPr>
          <w:rFonts w:ascii="Arial" w:hAnsi="Arial" w:cs="Arial"/>
        </w:rPr>
      </w:pPr>
      <w:r w:rsidRPr="003B1E4C">
        <w:rPr>
          <w:rFonts w:ascii="Arial" w:hAnsi="Arial" w:cs="Arial"/>
        </w:rPr>
        <w:t>Email address tgore@stevebikoha.org</w:t>
      </w:r>
    </w:p>
    <w:p w:rsidR="00D75623" w:rsidRPr="003B1E4C" w:rsidRDefault="00D75623" w:rsidP="00440C6C">
      <w:pPr>
        <w:tabs>
          <w:tab w:val="left" w:pos="3257"/>
        </w:tabs>
        <w:rPr>
          <w:rFonts w:ascii="Arial" w:hAnsi="Arial" w:cs="Arial"/>
        </w:rPr>
      </w:pPr>
    </w:p>
    <w:p w:rsidR="00440C6C" w:rsidRPr="003B1E4C" w:rsidRDefault="00B15459" w:rsidP="00440C6C">
      <w:pPr>
        <w:tabs>
          <w:tab w:val="left" w:pos="3257"/>
        </w:tabs>
        <w:rPr>
          <w:rFonts w:ascii="Arial" w:hAnsi="Arial" w:cs="Arial"/>
          <w:b/>
        </w:rPr>
      </w:pPr>
      <w:r w:rsidRPr="003B1E4C">
        <w:rPr>
          <w:rFonts w:ascii="Arial" w:hAnsi="Arial" w:cs="Arial"/>
          <w:b/>
        </w:rPr>
        <w:t>Board of Management</w:t>
      </w:r>
    </w:p>
    <w:p w:rsidR="00B15459" w:rsidRPr="003B1E4C" w:rsidRDefault="00B15459" w:rsidP="00440C6C">
      <w:pPr>
        <w:tabs>
          <w:tab w:val="left" w:pos="3257"/>
        </w:tabs>
        <w:rPr>
          <w:rFonts w:ascii="Arial" w:hAnsi="Arial" w:cs="Arial"/>
          <w:b/>
        </w:rPr>
      </w:pPr>
    </w:p>
    <w:p w:rsidR="00B15459" w:rsidRPr="003B1E4C" w:rsidRDefault="00B15459" w:rsidP="00440C6C">
      <w:pPr>
        <w:tabs>
          <w:tab w:val="left" w:pos="3257"/>
        </w:tabs>
        <w:rPr>
          <w:rFonts w:ascii="Arial" w:hAnsi="Arial" w:cs="Arial"/>
        </w:rPr>
      </w:pPr>
      <w:r w:rsidRPr="003B1E4C">
        <w:rPr>
          <w:rFonts w:ascii="Arial" w:hAnsi="Arial" w:cs="Arial"/>
        </w:rPr>
        <w:t>Robbie Williams</w:t>
      </w:r>
      <w:r w:rsidR="00A6194A">
        <w:rPr>
          <w:rFonts w:ascii="Arial" w:hAnsi="Arial" w:cs="Arial"/>
        </w:rPr>
        <w:tab/>
        <w:t>Acting Ch</w:t>
      </w:r>
      <w:r w:rsidR="003B3801" w:rsidRPr="003B1E4C">
        <w:rPr>
          <w:rFonts w:ascii="Arial" w:hAnsi="Arial" w:cs="Arial"/>
        </w:rPr>
        <w:t>air</w:t>
      </w:r>
    </w:p>
    <w:p w:rsidR="00B15459" w:rsidRPr="003B1E4C" w:rsidRDefault="003B3801" w:rsidP="003B3801">
      <w:pPr>
        <w:tabs>
          <w:tab w:val="left" w:pos="3257"/>
        </w:tabs>
        <w:rPr>
          <w:rFonts w:ascii="Arial" w:hAnsi="Arial" w:cs="Arial"/>
        </w:rPr>
      </w:pPr>
      <w:r w:rsidRPr="003B1E4C">
        <w:rPr>
          <w:rFonts w:ascii="Arial" w:hAnsi="Arial" w:cs="Arial"/>
        </w:rPr>
        <w:t>Howard Cover</w:t>
      </w:r>
      <w:r w:rsidRPr="003B1E4C">
        <w:rPr>
          <w:rFonts w:ascii="Arial" w:hAnsi="Arial" w:cs="Arial"/>
        </w:rPr>
        <w:tab/>
        <w:t>Company Secretary</w:t>
      </w:r>
    </w:p>
    <w:p w:rsidR="003B3801" w:rsidRPr="003B1E4C" w:rsidRDefault="003B3801" w:rsidP="003B3801">
      <w:pPr>
        <w:tabs>
          <w:tab w:val="left" w:pos="3257"/>
        </w:tabs>
        <w:rPr>
          <w:rFonts w:ascii="Arial" w:hAnsi="Arial" w:cs="Arial"/>
        </w:rPr>
      </w:pPr>
      <w:r w:rsidRPr="003B1E4C">
        <w:rPr>
          <w:rFonts w:ascii="Arial" w:hAnsi="Arial" w:cs="Arial"/>
        </w:rPr>
        <w:t>Michael Whitehead</w:t>
      </w:r>
      <w:r w:rsidRPr="003B1E4C">
        <w:rPr>
          <w:rFonts w:ascii="Arial" w:hAnsi="Arial" w:cs="Arial"/>
        </w:rPr>
        <w:tab/>
        <w:t>Treasurer</w:t>
      </w:r>
    </w:p>
    <w:p w:rsidR="00A6194A" w:rsidRPr="003B1E4C" w:rsidRDefault="00A6194A" w:rsidP="00A6194A">
      <w:pPr>
        <w:tabs>
          <w:tab w:val="left" w:pos="3257"/>
        </w:tabs>
        <w:rPr>
          <w:rFonts w:ascii="Arial" w:hAnsi="Arial" w:cs="Arial"/>
        </w:rPr>
      </w:pPr>
      <w:r w:rsidRPr="003B1E4C">
        <w:rPr>
          <w:rFonts w:ascii="Arial" w:hAnsi="Arial" w:cs="Arial"/>
        </w:rPr>
        <w:t>Michelle Cox</w:t>
      </w:r>
      <w:r w:rsidRPr="003B1E4C">
        <w:rPr>
          <w:rFonts w:ascii="Arial" w:hAnsi="Arial" w:cs="Arial"/>
        </w:rPr>
        <w:tab/>
      </w:r>
    </w:p>
    <w:p w:rsidR="00B15459" w:rsidRPr="003B1E4C" w:rsidRDefault="00B15459" w:rsidP="00440C6C">
      <w:pPr>
        <w:tabs>
          <w:tab w:val="left" w:pos="3257"/>
        </w:tabs>
        <w:rPr>
          <w:rFonts w:ascii="Arial" w:hAnsi="Arial" w:cs="Arial"/>
        </w:rPr>
      </w:pPr>
      <w:r w:rsidRPr="003B1E4C">
        <w:rPr>
          <w:rFonts w:ascii="Arial" w:hAnsi="Arial" w:cs="Arial"/>
        </w:rPr>
        <w:t>Yvonne Davies</w:t>
      </w:r>
    </w:p>
    <w:p w:rsidR="000B5B6B" w:rsidRDefault="000D6D33" w:rsidP="00440C6C">
      <w:pPr>
        <w:tabs>
          <w:tab w:val="left" w:pos="3257"/>
        </w:tabs>
        <w:rPr>
          <w:rFonts w:ascii="Arial" w:hAnsi="Arial" w:cs="Arial"/>
        </w:rPr>
      </w:pPr>
      <w:r>
        <w:rPr>
          <w:rFonts w:ascii="Arial" w:hAnsi="Arial" w:cs="Arial"/>
        </w:rPr>
        <w:t>Prav Walker</w:t>
      </w:r>
    </w:p>
    <w:p w:rsidR="00B15459" w:rsidRPr="003B1E4C" w:rsidRDefault="00B15459" w:rsidP="00440C6C">
      <w:pPr>
        <w:tabs>
          <w:tab w:val="left" w:pos="3257"/>
        </w:tabs>
        <w:rPr>
          <w:rFonts w:ascii="Arial" w:hAnsi="Arial" w:cs="Arial"/>
        </w:rPr>
      </w:pPr>
    </w:p>
    <w:p w:rsidR="00B15459" w:rsidRPr="003B1E4C" w:rsidRDefault="00B15459" w:rsidP="00440C6C">
      <w:pPr>
        <w:tabs>
          <w:tab w:val="left" w:pos="3257"/>
        </w:tabs>
        <w:rPr>
          <w:rFonts w:ascii="Arial" w:hAnsi="Arial" w:cs="Arial"/>
          <w:b/>
        </w:rPr>
      </w:pPr>
      <w:r w:rsidRPr="003B1E4C">
        <w:rPr>
          <w:rFonts w:ascii="Arial" w:hAnsi="Arial" w:cs="Arial"/>
          <w:b/>
        </w:rPr>
        <w:t>Director and Staff Employed as at 31</w:t>
      </w:r>
      <w:r w:rsidRPr="003B1E4C">
        <w:rPr>
          <w:rFonts w:ascii="Arial" w:hAnsi="Arial" w:cs="Arial"/>
          <w:b/>
          <w:vertAlign w:val="superscript"/>
        </w:rPr>
        <w:t>st</w:t>
      </w:r>
      <w:r w:rsidR="004F36AD">
        <w:rPr>
          <w:rFonts w:ascii="Arial" w:hAnsi="Arial" w:cs="Arial"/>
          <w:b/>
        </w:rPr>
        <w:t xml:space="preserve"> March 201</w:t>
      </w:r>
      <w:r w:rsidR="00A6194A">
        <w:rPr>
          <w:rFonts w:ascii="Arial" w:hAnsi="Arial" w:cs="Arial"/>
          <w:b/>
        </w:rPr>
        <w:t>7</w:t>
      </w:r>
    </w:p>
    <w:p w:rsidR="00B15459" w:rsidRPr="003B1E4C" w:rsidRDefault="00B15459" w:rsidP="00440C6C">
      <w:pPr>
        <w:tabs>
          <w:tab w:val="left" w:pos="3257"/>
        </w:tabs>
        <w:rPr>
          <w:rFonts w:ascii="Arial" w:hAnsi="Arial" w:cs="Arial"/>
          <w:b/>
        </w:rPr>
      </w:pPr>
    </w:p>
    <w:p w:rsidR="00B15459" w:rsidRPr="003B1E4C" w:rsidRDefault="00B15459" w:rsidP="00440C6C">
      <w:pPr>
        <w:tabs>
          <w:tab w:val="left" w:pos="3257"/>
        </w:tabs>
        <w:rPr>
          <w:rFonts w:ascii="Arial" w:hAnsi="Arial" w:cs="Arial"/>
        </w:rPr>
      </w:pPr>
      <w:r w:rsidRPr="003B1E4C">
        <w:rPr>
          <w:rFonts w:ascii="Arial" w:hAnsi="Arial" w:cs="Arial"/>
        </w:rPr>
        <w:t>Tracey Gore</w:t>
      </w:r>
      <w:r w:rsidRPr="003B1E4C">
        <w:rPr>
          <w:rFonts w:ascii="Arial" w:hAnsi="Arial" w:cs="Arial"/>
        </w:rPr>
        <w:tab/>
        <w:t>Director</w:t>
      </w:r>
    </w:p>
    <w:p w:rsidR="00B15459" w:rsidRPr="003B1E4C" w:rsidRDefault="00B15459" w:rsidP="00440C6C">
      <w:pPr>
        <w:tabs>
          <w:tab w:val="left" w:pos="3257"/>
        </w:tabs>
        <w:rPr>
          <w:rFonts w:ascii="Arial" w:hAnsi="Arial" w:cs="Arial"/>
        </w:rPr>
      </w:pPr>
      <w:r w:rsidRPr="003B1E4C">
        <w:rPr>
          <w:rFonts w:ascii="Arial" w:hAnsi="Arial" w:cs="Arial"/>
        </w:rPr>
        <w:t>Ustar Miah</w:t>
      </w:r>
      <w:r w:rsidRPr="003B1E4C">
        <w:rPr>
          <w:rFonts w:ascii="Arial" w:hAnsi="Arial" w:cs="Arial"/>
        </w:rPr>
        <w:tab/>
        <w:t>Housing &amp; Neighbourhood Services Manager</w:t>
      </w:r>
    </w:p>
    <w:p w:rsidR="00B15459" w:rsidRPr="003B1E4C" w:rsidRDefault="00B15459" w:rsidP="00440C6C">
      <w:pPr>
        <w:tabs>
          <w:tab w:val="left" w:pos="3257"/>
        </w:tabs>
        <w:rPr>
          <w:rFonts w:ascii="Arial" w:hAnsi="Arial" w:cs="Arial"/>
        </w:rPr>
      </w:pPr>
      <w:r w:rsidRPr="003B1E4C">
        <w:rPr>
          <w:rFonts w:ascii="Arial" w:hAnsi="Arial" w:cs="Arial"/>
        </w:rPr>
        <w:t>Mohamoud Hassan</w:t>
      </w:r>
      <w:r w:rsidRPr="003B1E4C">
        <w:rPr>
          <w:rFonts w:ascii="Arial" w:hAnsi="Arial" w:cs="Arial"/>
        </w:rPr>
        <w:tab/>
        <w:t>Housing &amp; Neighbourhood Services Officer</w:t>
      </w:r>
    </w:p>
    <w:p w:rsidR="00B15459" w:rsidRPr="003B1E4C" w:rsidRDefault="00B15459" w:rsidP="00440C6C">
      <w:pPr>
        <w:tabs>
          <w:tab w:val="left" w:pos="3257"/>
        </w:tabs>
        <w:rPr>
          <w:rFonts w:ascii="Arial" w:hAnsi="Arial" w:cs="Arial"/>
        </w:rPr>
      </w:pPr>
      <w:r w:rsidRPr="003B1E4C">
        <w:rPr>
          <w:rFonts w:ascii="Arial" w:hAnsi="Arial" w:cs="Arial"/>
        </w:rPr>
        <w:t>Beverley Williams</w:t>
      </w:r>
      <w:r w:rsidRPr="003B1E4C">
        <w:rPr>
          <w:rFonts w:ascii="Arial" w:hAnsi="Arial" w:cs="Arial"/>
        </w:rPr>
        <w:tab/>
        <w:t>Community Regeneration Manager</w:t>
      </w:r>
    </w:p>
    <w:p w:rsidR="00B15459" w:rsidRPr="003B1E4C" w:rsidRDefault="00B15459" w:rsidP="00440C6C">
      <w:pPr>
        <w:tabs>
          <w:tab w:val="left" w:pos="3257"/>
        </w:tabs>
        <w:rPr>
          <w:rFonts w:ascii="Arial" w:hAnsi="Arial" w:cs="Arial"/>
        </w:rPr>
      </w:pPr>
      <w:r w:rsidRPr="003B1E4C">
        <w:rPr>
          <w:rFonts w:ascii="Arial" w:hAnsi="Arial" w:cs="Arial"/>
        </w:rPr>
        <w:t>Beverley Betteridge</w:t>
      </w:r>
      <w:r w:rsidRPr="003B1E4C">
        <w:rPr>
          <w:rFonts w:ascii="Arial" w:hAnsi="Arial" w:cs="Arial"/>
        </w:rPr>
        <w:tab/>
        <w:t>Office Manager</w:t>
      </w:r>
    </w:p>
    <w:p w:rsidR="00B15459" w:rsidRPr="003B1E4C" w:rsidRDefault="00B15459" w:rsidP="00440C6C">
      <w:pPr>
        <w:tabs>
          <w:tab w:val="left" w:pos="3257"/>
        </w:tabs>
        <w:rPr>
          <w:rFonts w:ascii="Arial" w:hAnsi="Arial" w:cs="Arial"/>
        </w:rPr>
      </w:pPr>
      <w:r w:rsidRPr="003B1E4C">
        <w:rPr>
          <w:rFonts w:ascii="Arial" w:hAnsi="Arial" w:cs="Arial"/>
        </w:rPr>
        <w:t>Shelique Braithwaite</w:t>
      </w:r>
      <w:r w:rsidRPr="003B1E4C">
        <w:rPr>
          <w:rFonts w:ascii="Arial" w:hAnsi="Arial" w:cs="Arial"/>
        </w:rPr>
        <w:tab/>
      </w:r>
      <w:r w:rsidR="003B3801" w:rsidRPr="003B1E4C">
        <w:rPr>
          <w:rFonts w:ascii="Arial" w:hAnsi="Arial" w:cs="Arial"/>
        </w:rPr>
        <w:t xml:space="preserve">Admin / </w:t>
      </w:r>
      <w:r w:rsidRPr="003B1E4C">
        <w:rPr>
          <w:rFonts w:ascii="Arial" w:hAnsi="Arial" w:cs="Arial"/>
        </w:rPr>
        <w:t>Receptionist</w:t>
      </w:r>
    </w:p>
    <w:p w:rsidR="00B15459" w:rsidRPr="003B1E4C" w:rsidRDefault="004F36AD" w:rsidP="00440C6C">
      <w:pPr>
        <w:tabs>
          <w:tab w:val="left" w:pos="3257"/>
        </w:tabs>
        <w:rPr>
          <w:rFonts w:ascii="Arial" w:hAnsi="Arial" w:cs="Arial"/>
        </w:rPr>
      </w:pPr>
      <w:r>
        <w:rPr>
          <w:rFonts w:ascii="Arial" w:hAnsi="Arial" w:cs="Arial"/>
        </w:rPr>
        <w:t>Beverley Thompson</w:t>
      </w:r>
      <w:r>
        <w:rPr>
          <w:rFonts w:ascii="Arial" w:hAnsi="Arial" w:cs="Arial"/>
        </w:rPr>
        <w:tab/>
        <w:t>Independent Living Officer</w:t>
      </w:r>
    </w:p>
    <w:p w:rsidR="00B15459" w:rsidRPr="003B1E4C" w:rsidRDefault="00B15459" w:rsidP="00440C6C">
      <w:pPr>
        <w:tabs>
          <w:tab w:val="left" w:pos="3257"/>
        </w:tabs>
        <w:rPr>
          <w:rFonts w:ascii="Arial" w:hAnsi="Arial" w:cs="Arial"/>
        </w:rPr>
      </w:pPr>
      <w:r w:rsidRPr="003B1E4C">
        <w:rPr>
          <w:rFonts w:ascii="Arial" w:hAnsi="Arial" w:cs="Arial"/>
        </w:rPr>
        <w:t>Susan Condon</w:t>
      </w:r>
      <w:r w:rsidRPr="003B1E4C">
        <w:rPr>
          <w:rFonts w:ascii="Arial" w:hAnsi="Arial" w:cs="Arial"/>
        </w:rPr>
        <w:tab/>
        <w:t>Sheltered Scheme Cleaner</w:t>
      </w:r>
    </w:p>
    <w:p w:rsidR="00B15459" w:rsidRPr="003B1E4C" w:rsidRDefault="00B15459" w:rsidP="00440C6C">
      <w:pPr>
        <w:tabs>
          <w:tab w:val="left" w:pos="3257"/>
        </w:tabs>
        <w:rPr>
          <w:rFonts w:ascii="Arial" w:hAnsi="Arial" w:cs="Arial"/>
        </w:rPr>
      </w:pPr>
    </w:p>
    <w:p w:rsidR="00B15459" w:rsidRPr="003B1E4C" w:rsidRDefault="00B15459" w:rsidP="00440C6C">
      <w:pPr>
        <w:tabs>
          <w:tab w:val="left" w:pos="3257"/>
        </w:tabs>
        <w:rPr>
          <w:rFonts w:ascii="Arial" w:hAnsi="Arial" w:cs="Arial"/>
          <w:b/>
        </w:rPr>
      </w:pPr>
      <w:r w:rsidRPr="003B1E4C">
        <w:rPr>
          <w:rFonts w:ascii="Arial" w:hAnsi="Arial" w:cs="Arial"/>
          <w:b/>
        </w:rPr>
        <w:t>Agency Services</w:t>
      </w:r>
    </w:p>
    <w:p w:rsidR="004F36AD" w:rsidRDefault="004F36AD" w:rsidP="00440C6C">
      <w:pPr>
        <w:tabs>
          <w:tab w:val="left" w:pos="3257"/>
        </w:tabs>
        <w:rPr>
          <w:rFonts w:ascii="Arial" w:hAnsi="Arial" w:cs="Arial"/>
        </w:rPr>
      </w:pPr>
    </w:p>
    <w:p w:rsidR="00B15459" w:rsidRDefault="00B15459" w:rsidP="00440C6C">
      <w:pPr>
        <w:tabs>
          <w:tab w:val="left" w:pos="3257"/>
        </w:tabs>
        <w:rPr>
          <w:rFonts w:ascii="Arial" w:hAnsi="Arial" w:cs="Arial"/>
        </w:rPr>
      </w:pPr>
      <w:r w:rsidRPr="003B1E4C">
        <w:rPr>
          <w:rFonts w:ascii="Arial" w:hAnsi="Arial" w:cs="Arial"/>
        </w:rPr>
        <w:t>Financial Services are provided by a management agency through a formal agreement.  Our managing agent is:</w:t>
      </w:r>
    </w:p>
    <w:p w:rsidR="009C5D36" w:rsidRPr="003B1E4C" w:rsidRDefault="009C5D36" w:rsidP="00440C6C">
      <w:pPr>
        <w:tabs>
          <w:tab w:val="left" w:pos="3257"/>
        </w:tabs>
        <w:rPr>
          <w:rFonts w:ascii="Arial" w:hAnsi="Arial" w:cs="Arial"/>
        </w:rPr>
      </w:pPr>
    </w:p>
    <w:p w:rsidR="00B15459" w:rsidRPr="003B1E4C" w:rsidRDefault="00B15459" w:rsidP="00440C6C">
      <w:pPr>
        <w:tabs>
          <w:tab w:val="left" w:pos="3257"/>
        </w:tabs>
        <w:rPr>
          <w:rFonts w:ascii="Arial" w:hAnsi="Arial" w:cs="Arial"/>
        </w:rPr>
      </w:pPr>
      <w:r w:rsidRPr="003B1E4C">
        <w:rPr>
          <w:rFonts w:ascii="Arial" w:hAnsi="Arial" w:cs="Arial"/>
        </w:rPr>
        <w:t>North West Housing Services</w:t>
      </w:r>
    </w:p>
    <w:p w:rsidR="00B15459" w:rsidRPr="003B1E4C" w:rsidRDefault="00B15459" w:rsidP="00440C6C">
      <w:pPr>
        <w:tabs>
          <w:tab w:val="left" w:pos="3257"/>
        </w:tabs>
        <w:rPr>
          <w:rFonts w:ascii="Arial" w:hAnsi="Arial" w:cs="Arial"/>
        </w:rPr>
      </w:pPr>
      <w:r w:rsidRPr="003B1E4C">
        <w:rPr>
          <w:rFonts w:ascii="Arial" w:hAnsi="Arial" w:cs="Arial"/>
        </w:rPr>
        <w:t>19 Devonshire Road</w:t>
      </w:r>
    </w:p>
    <w:p w:rsidR="00B15459" w:rsidRDefault="00B15459" w:rsidP="00440C6C">
      <w:pPr>
        <w:tabs>
          <w:tab w:val="left" w:pos="3257"/>
        </w:tabs>
        <w:rPr>
          <w:rFonts w:ascii="Arial" w:hAnsi="Arial" w:cs="Arial"/>
        </w:rPr>
      </w:pPr>
      <w:r w:rsidRPr="003B1E4C">
        <w:rPr>
          <w:rFonts w:ascii="Arial" w:hAnsi="Arial" w:cs="Arial"/>
        </w:rPr>
        <w:t>Liverpool L8 3TX</w:t>
      </w:r>
    </w:p>
    <w:p w:rsidR="004F36AD" w:rsidRDefault="004F36AD" w:rsidP="00440C6C">
      <w:pPr>
        <w:tabs>
          <w:tab w:val="left" w:pos="3257"/>
        </w:tabs>
        <w:rPr>
          <w:rFonts w:ascii="Arial" w:hAnsi="Arial" w:cs="Arial"/>
        </w:rPr>
      </w:pPr>
    </w:p>
    <w:p w:rsidR="004F36AD" w:rsidRDefault="004F36AD" w:rsidP="00440C6C">
      <w:pPr>
        <w:tabs>
          <w:tab w:val="left" w:pos="3257"/>
        </w:tabs>
        <w:rPr>
          <w:rFonts w:ascii="Arial" w:hAnsi="Arial" w:cs="Arial"/>
        </w:rPr>
      </w:pPr>
      <w:r>
        <w:rPr>
          <w:rFonts w:ascii="Arial" w:hAnsi="Arial" w:cs="Arial"/>
        </w:rPr>
        <w:t>Repairs &amp; Maintenance management of service is provided through a formal contract.  Our managing agent is:</w:t>
      </w:r>
    </w:p>
    <w:p w:rsidR="009C5D36" w:rsidRDefault="009C5D36" w:rsidP="00440C6C">
      <w:pPr>
        <w:tabs>
          <w:tab w:val="left" w:pos="3257"/>
        </w:tabs>
        <w:rPr>
          <w:rFonts w:ascii="Arial" w:hAnsi="Arial" w:cs="Arial"/>
        </w:rPr>
      </w:pPr>
    </w:p>
    <w:p w:rsidR="004F36AD" w:rsidRDefault="004F36AD" w:rsidP="00440C6C">
      <w:pPr>
        <w:tabs>
          <w:tab w:val="left" w:pos="3257"/>
        </w:tabs>
        <w:rPr>
          <w:rFonts w:ascii="Arial" w:hAnsi="Arial" w:cs="Arial"/>
        </w:rPr>
      </w:pPr>
      <w:r>
        <w:rPr>
          <w:rFonts w:ascii="Arial" w:hAnsi="Arial" w:cs="Arial"/>
        </w:rPr>
        <w:t>South Liverpool Homes</w:t>
      </w:r>
    </w:p>
    <w:p w:rsidR="004F36AD" w:rsidRDefault="004F36AD" w:rsidP="00440C6C">
      <w:pPr>
        <w:tabs>
          <w:tab w:val="left" w:pos="3257"/>
        </w:tabs>
        <w:rPr>
          <w:rFonts w:ascii="Arial" w:hAnsi="Arial" w:cs="Arial"/>
        </w:rPr>
      </w:pPr>
      <w:r>
        <w:rPr>
          <w:rFonts w:ascii="Arial" w:hAnsi="Arial" w:cs="Arial"/>
        </w:rPr>
        <w:t>Parklands</w:t>
      </w:r>
    </w:p>
    <w:p w:rsidR="004F36AD" w:rsidRDefault="004F36AD" w:rsidP="00440C6C">
      <w:pPr>
        <w:tabs>
          <w:tab w:val="left" w:pos="3257"/>
        </w:tabs>
        <w:rPr>
          <w:rFonts w:ascii="Arial" w:hAnsi="Arial" w:cs="Arial"/>
        </w:rPr>
      </w:pPr>
      <w:r>
        <w:rPr>
          <w:rFonts w:ascii="Arial" w:hAnsi="Arial" w:cs="Arial"/>
        </w:rPr>
        <w:t>Conleach Road</w:t>
      </w:r>
    </w:p>
    <w:p w:rsidR="004F36AD" w:rsidRDefault="004F36AD" w:rsidP="00440C6C">
      <w:pPr>
        <w:tabs>
          <w:tab w:val="left" w:pos="3257"/>
        </w:tabs>
        <w:rPr>
          <w:rFonts w:ascii="Arial" w:hAnsi="Arial" w:cs="Arial"/>
        </w:rPr>
      </w:pPr>
      <w:r>
        <w:rPr>
          <w:rFonts w:ascii="Arial" w:hAnsi="Arial" w:cs="Arial"/>
        </w:rPr>
        <w:t>Liverpool L24 0TY</w:t>
      </w:r>
    </w:p>
    <w:p w:rsidR="004F36AD" w:rsidRDefault="004F36AD" w:rsidP="00440C6C">
      <w:pPr>
        <w:tabs>
          <w:tab w:val="left" w:pos="3257"/>
        </w:tabs>
        <w:rPr>
          <w:rFonts w:ascii="Arial" w:hAnsi="Arial" w:cs="Arial"/>
        </w:rPr>
      </w:pPr>
    </w:p>
    <w:p w:rsidR="004F36AD" w:rsidRPr="003B1E4C" w:rsidRDefault="004F36AD" w:rsidP="00440C6C">
      <w:pPr>
        <w:tabs>
          <w:tab w:val="left" w:pos="3257"/>
        </w:tabs>
        <w:rPr>
          <w:rFonts w:ascii="Arial" w:hAnsi="Arial" w:cs="Arial"/>
        </w:rPr>
      </w:pPr>
      <w:r>
        <w:rPr>
          <w:rFonts w:ascii="Arial" w:hAnsi="Arial" w:cs="Arial"/>
        </w:rPr>
        <w:lastRenderedPageBreak/>
        <w:t>We have contracted HMS to provide Repairs and estate based services through a formal contract.</w:t>
      </w:r>
    </w:p>
    <w:p w:rsidR="00B15459" w:rsidRPr="003B1E4C" w:rsidRDefault="00B15459" w:rsidP="00440C6C">
      <w:pPr>
        <w:tabs>
          <w:tab w:val="left" w:pos="3257"/>
        </w:tabs>
        <w:rPr>
          <w:rFonts w:ascii="Arial" w:hAnsi="Arial" w:cs="Arial"/>
        </w:rPr>
      </w:pPr>
    </w:p>
    <w:p w:rsidR="00B15459" w:rsidRPr="003B1E4C" w:rsidRDefault="00B15459" w:rsidP="00440C6C">
      <w:pPr>
        <w:tabs>
          <w:tab w:val="left" w:pos="3257"/>
        </w:tabs>
        <w:rPr>
          <w:rFonts w:ascii="Arial" w:hAnsi="Arial" w:cs="Arial"/>
          <w:b/>
        </w:rPr>
      </w:pPr>
      <w:r w:rsidRPr="003B1E4C">
        <w:rPr>
          <w:rFonts w:ascii="Arial" w:hAnsi="Arial" w:cs="Arial"/>
          <w:b/>
        </w:rPr>
        <w:t>Auditors</w:t>
      </w:r>
    </w:p>
    <w:p w:rsidR="00B15459" w:rsidRPr="003B1E4C" w:rsidRDefault="00B15459" w:rsidP="00440C6C">
      <w:pPr>
        <w:tabs>
          <w:tab w:val="left" w:pos="3257"/>
        </w:tabs>
        <w:rPr>
          <w:rFonts w:ascii="Arial" w:hAnsi="Arial" w:cs="Arial"/>
        </w:rPr>
      </w:pPr>
      <w:r w:rsidRPr="003B1E4C">
        <w:rPr>
          <w:rFonts w:ascii="Arial" w:hAnsi="Arial" w:cs="Arial"/>
        </w:rPr>
        <w:t>Mitchell Charlesworth</w:t>
      </w:r>
    </w:p>
    <w:p w:rsidR="00B15459" w:rsidRPr="003B1E4C" w:rsidRDefault="00B15459" w:rsidP="00440C6C">
      <w:pPr>
        <w:tabs>
          <w:tab w:val="left" w:pos="3257"/>
        </w:tabs>
        <w:rPr>
          <w:rFonts w:ascii="Arial" w:hAnsi="Arial" w:cs="Arial"/>
        </w:rPr>
      </w:pPr>
      <w:r w:rsidRPr="003B1E4C">
        <w:rPr>
          <w:rFonts w:ascii="Arial" w:hAnsi="Arial" w:cs="Arial"/>
        </w:rPr>
        <w:t>5 Temple Square</w:t>
      </w:r>
    </w:p>
    <w:p w:rsidR="00B15459" w:rsidRPr="003B1E4C" w:rsidRDefault="00B15459" w:rsidP="00440C6C">
      <w:pPr>
        <w:tabs>
          <w:tab w:val="left" w:pos="3257"/>
        </w:tabs>
        <w:rPr>
          <w:rFonts w:ascii="Arial" w:hAnsi="Arial" w:cs="Arial"/>
        </w:rPr>
      </w:pPr>
      <w:r w:rsidRPr="003B1E4C">
        <w:rPr>
          <w:rFonts w:ascii="Arial" w:hAnsi="Arial" w:cs="Arial"/>
        </w:rPr>
        <w:t>Temple Street</w:t>
      </w:r>
    </w:p>
    <w:p w:rsidR="00B15459" w:rsidRPr="003B1E4C" w:rsidRDefault="00B15459" w:rsidP="00440C6C">
      <w:pPr>
        <w:tabs>
          <w:tab w:val="left" w:pos="3257"/>
        </w:tabs>
        <w:rPr>
          <w:rFonts w:ascii="Arial" w:hAnsi="Arial" w:cs="Arial"/>
        </w:rPr>
      </w:pPr>
      <w:r w:rsidRPr="003B1E4C">
        <w:rPr>
          <w:rFonts w:ascii="Arial" w:hAnsi="Arial" w:cs="Arial"/>
        </w:rPr>
        <w:t>Liverpool</w:t>
      </w:r>
    </w:p>
    <w:p w:rsidR="00B15459" w:rsidRPr="003B1E4C" w:rsidRDefault="00B15459" w:rsidP="00440C6C">
      <w:pPr>
        <w:tabs>
          <w:tab w:val="left" w:pos="3257"/>
        </w:tabs>
        <w:rPr>
          <w:rFonts w:ascii="Arial" w:hAnsi="Arial" w:cs="Arial"/>
        </w:rPr>
      </w:pPr>
      <w:r w:rsidRPr="003B1E4C">
        <w:rPr>
          <w:rFonts w:ascii="Arial" w:hAnsi="Arial" w:cs="Arial"/>
        </w:rPr>
        <w:t>L2 5RH</w:t>
      </w:r>
    </w:p>
    <w:p w:rsidR="00B15459" w:rsidRPr="003B1E4C" w:rsidRDefault="00B15459" w:rsidP="00440C6C">
      <w:pPr>
        <w:tabs>
          <w:tab w:val="left" w:pos="3257"/>
        </w:tabs>
        <w:rPr>
          <w:rFonts w:ascii="Arial" w:hAnsi="Arial" w:cs="Arial"/>
        </w:rPr>
      </w:pPr>
    </w:p>
    <w:p w:rsidR="00B15459" w:rsidRPr="003B1E4C" w:rsidRDefault="00B15459" w:rsidP="00440C6C">
      <w:pPr>
        <w:tabs>
          <w:tab w:val="left" w:pos="3257"/>
        </w:tabs>
        <w:rPr>
          <w:rFonts w:ascii="Arial" w:hAnsi="Arial" w:cs="Arial"/>
          <w:b/>
        </w:rPr>
      </w:pPr>
      <w:r w:rsidRPr="003B1E4C">
        <w:rPr>
          <w:rFonts w:ascii="Arial" w:hAnsi="Arial" w:cs="Arial"/>
          <w:b/>
        </w:rPr>
        <w:t>Solicitors</w:t>
      </w:r>
    </w:p>
    <w:p w:rsidR="00B15459" w:rsidRPr="003B1E4C" w:rsidRDefault="00B15459" w:rsidP="00440C6C">
      <w:pPr>
        <w:tabs>
          <w:tab w:val="left" w:pos="3257"/>
        </w:tabs>
        <w:rPr>
          <w:rFonts w:ascii="Arial" w:hAnsi="Arial" w:cs="Arial"/>
        </w:rPr>
      </w:pPr>
      <w:r w:rsidRPr="003B1E4C">
        <w:rPr>
          <w:rFonts w:ascii="Arial" w:hAnsi="Arial" w:cs="Arial"/>
        </w:rPr>
        <w:t>Brabners</w:t>
      </w:r>
    </w:p>
    <w:p w:rsidR="00B15459" w:rsidRPr="003B1E4C" w:rsidRDefault="00B15459" w:rsidP="00440C6C">
      <w:pPr>
        <w:tabs>
          <w:tab w:val="left" w:pos="3257"/>
        </w:tabs>
        <w:rPr>
          <w:rFonts w:ascii="Arial" w:hAnsi="Arial" w:cs="Arial"/>
        </w:rPr>
      </w:pPr>
      <w:r w:rsidRPr="003B1E4C">
        <w:rPr>
          <w:rFonts w:ascii="Arial" w:hAnsi="Arial" w:cs="Arial"/>
        </w:rPr>
        <w:t>Horton Hose</w:t>
      </w:r>
    </w:p>
    <w:p w:rsidR="00B15459" w:rsidRPr="003B1E4C" w:rsidRDefault="00B15459" w:rsidP="00440C6C">
      <w:pPr>
        <w:tabs>
          <w:tab w:val="left" w:pos="3257"/>
        </w:tabs>
        <w:rPr>
          <w:rFonts w:ascii="Arial" w:hAnsi="Arial" w:cs="Arial"/>
        </w:rPr>
      </w:pPr>
      <w:r w:rsidRPr="003B1E4C">
        <w:rPr>
          <w:rFonts w:ascii="Arial" w:hAnsi="Arial" w:cs="Arial"/>
        </w:rPr>
        <w:t>Exchange Flags</w:t>
      </w:r>
    </w:p>
    <w:p w:rsidR="00B15459" w:rsidRPr="003B1E4C" w:rsidRDefault="00B15459" w:rsidP="00440C6C">
      <w:pPr>
        <w:tabs>
          <w:tab w:val="left" w:pos="3257"/>
        </w:tabs>
        <w:rPr>
          <w:rFonts w:ascii="Arial" w:hAnsi="Arial" w:cs="Arial"/>
        </w:rPr>
      </w:pPr>
      <w:r w:rsidRPr="003B1E4C">
        <w:rPr>
          <w:rFonts w:ascii="Arial" w:hAnsi="Arial" w:cs="Arial"/>
        </w:rPr>
        <w:t>Liverpool</w:t>
      </w:r>
    </w:p>
    <w:p w:rsidR="00B15459" w:rsidRPr="003B1E4C" w:rsidRDefault="00B15459" w:rsidP="00440C6C">
      <w:pPr>
        <w:tabs>
          <w:tab w:val="left" w:pos="3257"/>
        </w:tabs>
        <w:rPr>
          <w:rFonts w:ascii="Arial" w:hAnsi="Arial" w:cs="Arial"/>
        </w:rPr>
      </w:pPr>
      <w:r w:rsidRPr="003B1E4C">
        <w:rPr>
          <w:rFonts w:ascii="Arial" w:hAnsi="Arial" w:cs="Arial"/>
        </w:rPr>
        <w:t>L2 3YL</w:t>
      </w:r>
    </w:p>
    <w:sectPr w:rsidR="00B15459" w:rsidRPr="003B1E4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5B" w:rsidRDefault="0026195B" w:rsidP="00B15459">
      <w:r>
        <w:separator/>
      </w:r>
    </w:p>
  </w:endnote>
  <w:endnote w:type="continuationSeparator" w:id="0">
    <w:p w:rsidR="0026195B" w:rsidRDefault="0026195B" w:rsidP="00B1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17628"/>
      <w:docPartObj>
        <w:docPartGallery w:val="Page Numbers (Bottom of Page)"/>
        <w:docPartUnique/>
      </w:docPartObj>
    </w:sdtPr>
    <w:sdtEndPr>
      <w:rPr>
        <w:noProof/>
      </w:rPr>
    </w:sdtEndPr>
    <w:sdtContent>
      <w:p w:rsidR="006E1463" w:rsidRDefault="006E1463">
        <w:pPr>
          <w:pStyle w:val="Footer"/>
          <w:jc w:val="right"/>
        </w:pPr>
        <w:r>
          <w:fldChar w:fldCharType="begin"/>
        </w:r>
        <w:r>
          <w:instrText xml:space="preserve"> PAGE   \* MERGEFORMAT </w:instrText>
        </w:r>
        <w:r>
          <w:fldChar w:fldCharType="separate"/>
        </w:r>
        <w:r w:rsidR="00DD1A71">
          <w:rPr>
            <w:noProof/>
          </w:rPr>
          <w:t>1</w:t>
        </w:r>
        <w:r>
          <w:rPr>
            <w:noProof/>
          </w:rPr>
          <w:fldChar w:fldCharType="end"/>
        </w:r>
      </w:p>
    </w:sdtContent>
  </w:sdt>
  <w:p w:rsidR="006E1463" w:rsidRDefault="006E1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5B" w:rsidRDefault="0026195B" w:rsidP="00B15459">
      <w:r>
        <w:separator/>
      </w:r>
    </w:p>
  </w:footnote>
  <w:footnote w:type="continuationSeparator" w:id="0">
    <w:p w:rsidR="0026195B" w:rsidRDefault="0026195B" w:rsidP="00B154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594"/>
    <w:multiLevelType w:val="hybridMultilevel"/>
    <w:tmpl w:val="795AF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D43D7E"/>
    <w:multiLevelType w:val="hybridMultilevel"/>
    <w:tmpl w:val="AE70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22951"/>
    <w:multiLevelType w:val="hybridMultilevel"/>
    <w:tmpl w:val="B296DB82"/>
    <w:lvl w:ilvl="0" w:tplc="08090001">
      <w:start w:val="1"/>
      <w:numFmt w:val="bullet"/>
      <w:lvlText w:val=""/>
      <w:lvlJc w:val="left"/>
      <w:pPr>
        <w:ind w:left="2499" w:hanging="360"/>
      </w:pPr>
      <w:rPr>
        <w:rFonts w:ascii="Symbol" w:hAnsi="Symbol" w:hint="default"/>
      </w:rPr>
    </w:lvl>
    <w:lvl w:ilvl="1" w:tplc="08090001">
      <w:start w:val="1"/>
      <w:numFmt w:val="bullet"/>
      <w:lvlText w:val=""/>
      <w:lvlJc w:val="left"/>
      <w:pPr>
        <w:ind w:left="3219" w:hanging="360"/>
      </w:pPr>
      <w:rPr>
        <w:rFonts w:ascii="Symbol" w:hAnsi="Symbol" w:hint="default"/>
      </w:rPr>
    </w:lvl>
    <w:lvl w:ilvl="2" w:tplc="08090005">
      <w:start w:val="1"/>
      <w:numFmt w:val="bullet"/>
      <w:lvlText w:val=""/>
      <w:lvlJc w:val="left"/>
      <w:pPr>
        <w:ind w:left="3939" w:hanging="360"/>
      </w:pPr>
      <w:rPr>
        <w:rFonts w:ascii="Wingdings" w:hAnsi="Wingdings" w:hint="default"/>
      </w:rPr>
    </w:lvl>
    <w:lvl w:ilvl="3" w:tplc="08090001" w:tentative="1">
      <w:start w:val="1"/>
      <w:numFmt w:val="bullet"/>
      <w:lvlText w:val=""/>
      <w:lvlJc w:val="left"/>
      <w:pPr>
        <w:ind w:left="4659" w:hanging="360"/>
      </w:pPr>
      <w:rPr>
        <w:rFonts w:ascii="Symbol" w:hAnsi="Symbol" w:hint="default"/>
      </w:rPr>
    </w:lvl>
    <w:lvl w:ilvl="4" w:tplc="08090003" w:tentative="1">
      <w:start w:val="1"/>
      <w:numFmt w:val="bullet"/>
      <w:lvlText w:val="o"/>
      <w:lvlJc w:val="left"/>
      <w:pPr>
        <w:ind w:left="5379" w:hanging="360"/>
      </w:pPr>
      <w:rPr>
        <w:rFonts w:ascii="Courier New" w:hAnsi="Courier New" w:cs="Courier New" w:hint="default"/>
      </w:rPr>
    </w:lvl>
    <w:lvl w:ilvl="5" w:tplc="08090005" w:tentative="1">
      <w:start w:val="1"/>
      <w:numFmt w:val="bullet"/>
      <w:lvlText w:val=""/>
      <w:lvlJc w:val="left"/>
      <w:pPr>
        <w:ind w:left="6099" w:hanging="360"/>
      </w:pPr>
      <w:rPr>
        <w:rFonts w:ascii="Wingdings" w:hAnsi="Wingdings" w:hint="default"/>
      </w:rPr>
    </w:lvl>
    <w:lvl w:ilvl="6" w:tplc="08090001" w:tentative="1">
      <w:start w:val="1"/>
      <w:numFmt w:val="bullet"/>
      <w:lvlText w:val=""/>
      <w:lvlJc w:val="left"/>
      <w:pPr>
        <w:ind w:left="6819" w:hanging="360"/>
      </w:pPr>
      <w:rPr>
        <w:rFonts w:ascii="Symbol" w:hAnsi="Symbol" w:hint="default"/>
      </w:rPr>
    </w:lvl>
    <w:lvl w:ilvl="7" w:tplc="08090003" w:tentative="1">
      <w:start w:val="1"/>
      <w:numFmt w:val="bullet"/>
      <w:lvlText w:val="o"/>
      <w:lvlJc w:val="left"/>
      <w:pPr>
        <w:ind w:left="7539" w:hanging="360"/>
      </w:pPr>
      <w:rPr>
        <w:rFonts w:ascii="Courier New" w:hAnsi="Courier New" w:cs="Courier New" w:hint="default"/>
      </w:rPr>
    </w:lvl>
    <w:lvl w:ilvl="8" w:tplc="08090005" w:tentative="1">
      <w:start w:val="1"/>
      <w:numFmt w:val="bullet"/>
      <w:lvlText w:val=""/>
      <w:lvlJc w:val="left"/>
      <w:pPr>
        <w:ind w:left="8259" w:hanging="360"/>
      </w:pPr>
      <w:rPr>
        <w:rFonts w:ascii="Wingdings" w:hAnsi="Wingdings" w:hint="default"/>
      </w:rPr>
    </w:lvl>
  </w:abstractNum>
  <w:abstractNum w:abstractNumId="3" w15:restartNumberingAfterBreak="0">
    <w:nsid w:val="45F03EF8"/>
    <w:multiLevelType w:val="hybridMultilevel"/>
    <w:tmpl w:val="E0ACD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F03B83"/>
    <w:multiLevelType w:val="hybridMultilevel"/>
    <w:tmpl w:val="8114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D0833"/>
    <w:multiLevelType w:val="hybridMultilevel"/>
    <w:tmpl w:val="BE881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520CC4"/>
    <w:multiLevelType w:val="hybridMultilevel"/>
    <w:tmpl w:val="CA8CD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A2"/>
    <w:rsid w:val="0000039F"/>
    <w:rsid w:val="00000B4C"/>
    <w:rsid w:val="0000305B"/>
    <w:rsid w:val="00004388"/>
    <w:rsid w:val="00004A71"/>
    <w:rsid w:val="0000511D"/>
    <w:rsid w:val="0000525A"/>
    <w:rsid w:val="00007267"/>
    <w:rsid w:val="00007786"/>
    <w:rsid w:val="00010959"/>
    <w:rsid w:val="000114AB"/>
    <w:rsid w:val="00011685"/>
    <w:rsid w:val="00011900"/>
    <w:rsid w:val="000154AF"/>
    <w:rsid w:val="000154FF"/>
    <w:rsid w:val="00015661"/>
    <w:rsid w:val="000162AB"/>
    <w:rsid w:val="00017EA2"/>
    <w:rsid w:val="00022343"/>
    <w:rsid w:val="00022F3C"/>
    <w:rsid w:val="00023105"/>
    <w:rsid w:val="00025071"/>
    <w:rsid w:val="0002618D"/>
    <w:rsid w:val="00026FCD"/>
    <w:rsid w:val="00027C16"/>
    <w:rsid w:val="00031EF2"/>
    <w:rsid w:val="00033B46"/>
    <w:rsid w:val="00034439"/>
    <w:rsid w:val="00035FB6"/>
    <w:rsid w:val="000371C3"/>
    <w:rsid w:val="00037C53"/>
    <w:rsid w:val="00040E36"/>
    <w:rsid w:val="0004135F"/>
    <w:rsid w:val="00041F7E"/>
    <w:rsid w:val="000449A3"/>
    <w:rsid w:val="00044DAB"/>
    <w:rsid w:val="00050092"/>
    <w:rsid w:val="000524AF"/>
    <w:rsid w:val="000526B1"/>
    <w:rsid w:val="00053782"/>
    <w:rsid w:val="00053B53"/>
    <w:rsid w:val="00060DF2"/>
    <w:rsid w:val="00060FE5"/>
    <w:rsid w:val="000621AD"/>
    <w:rsid w:val="00062279"/>
    <w:rsid w:val="00062ECE"/>
    <w:rsid w:val="0006377D"/>
    <w:rsid w:val="0006426E"/>
    <w:rsid w:val="000651E5"/>
    <w:rsid w:val="00067C9D"/>
    <w:rsid w:val="00071F54"/>
    <w:rsid w:val="000721FB"/>
    <w:rsid w:val="000738DD"/>
    <w:rsid w:val="00074D43"/>
    <w:rsid w:val="00076E10"/>
    <w:rsid w:val="00077D34"/>
    <w:rsid w:val="00082241"/>
    <w:rsid w:val="00086E72"/>
    <w:rsid w:val="00090DBD"/>
    <w:rsid w:val="000940F0"/>
    <w:rsid w:val="000A07C9"/>
    <w:rsid w:val="000A0D42"/>
    <w:rsid w:val="000A1971"/>
    <w:rsid w:val="000A2D62"/>
    <w:rsid w:val="000A2E1E"/>
    <w:rsid w:val="000A3682"/>
    <w:rsid w:val="000A4A3B"/>
    <w:rsid w:val="000A5B9E"/>
    <w:rsid w:val="000A5D3C"/>
    <w:rsid w:val="000A7E93"/>
    <w:rsid w:val="000B085D"/>
    <w:rsid w:val="000B0C5E"/>
    <w:rsid w:val="000B220E"/>
    <w:rsid w:val="000B35C1"/>
    <w:rsid w:val="000B36D7"/>
    <w:rsid w:val="000B4DB3"/>
    <w:rsid w:val="000B5226"/>
    <w:rsid w:val="000B5B6B"/>
    <w:rsid w:val="000C240E"/>
    <w:rsid w:val="000C2B39"/>
    <w:rsid w:val="000C3F4F"/>
    <w:rsid w:val="000C49B1"/>
    <w:rsid w:val="000C5419"/>
    <w:rsid w:val="000C5F4B"/>
    <w:rsid w:val="000D0196"/>
    <w:rsid w:val="000D087E"/>
    <w:rsid w:val="000D186D"/>
    <w:rsid w:val="000D1C9A"/>
    <w:rsid w:val="000D2087"/>
    <w:rsid w:val="000D2233"/>
    <w:rsid w:val="000D29FE"/>
    <w:rsid w:val="000D2AAC"/>
    <w:rsid w:val="000D3558"/>
    <w:rsid w:val="000D51AE"/>
    <w:rsid w:val="000D6D33"/>
    <w:rsid w:val="000D7828"/>
    <w:rsid w:val="000E03A2"/>
    <w:rsid w:val="000E1B43"/>
    <w:rsid w:val="000E225E"/>
    <w:rsid w:val="000E2866"/>
    <w:rsid w:val="000E3B03"/>
    <w:rsid w:val="000E61EE"/>
    <w:rsid w:val="000E7186"/>
    <w:rsid w:val="000E7710"/>
    <w:rsid w:val="000F0A20"/>
    <w:rsid w:val="000F1C01"/>
    <w:rsid w:val="000F2775"/>
    <w:rsid w:val="000F325B"/>
    <w:rsid w:val="000F62B0"/>
    <w:rsid w:val="00100907"/>
    <w:rsid w:val="00101013"/>
    <w:rsid w:val="00101BC1"/>
    <w:rsid w:val="001033D1"/>
    <w:rsid w:val="001037C1"/>
    <w:rsid w:val="00103FDD"/>
    <w:rsid w:val="0010484A"/>
    <w:rsid w:val="00105BED"/>
    <w:rsid w:val="0010715C"/>
    <w:rsid w:val="00111936"/>
    <w:rsid w:val="00112F71"/>
    <w:rsid w:val="001203D9"/>
    <w:rsid w:val="00121804"/>
    <w:rsid w:val="00124D55"/>
    <w:rsid w:val="0012632D"/>
    <w:rsid w:val="001273EF"/>
    <w:rsid w:val="0013094B"/>
    <w:rsid w:val="001323C4"/>
    <w:rsid w:val="001343F1"/>
    <w:rsid w:val="00136F57"/>
    <w:rsid w:val="00140AF4"/>
    <w:rsid w:val="00140C0B"/>
    <w:rsid w:val="001415ED"/>
    <w:rsid w:val="00142543"/>
    <w:rsid w:val="00142A41"/>
    <w:rsid w:val="00143A6C"/>
    <w:rsid w:val="00150044"/>
    <w:rsid w:val="0015051B"/>
    <w:rsid w:val="00151475"/>
    <w:rsid w:val="00151B66"/>
    <w:rsid w:val="00151C03"/>
    <w:rsid w:val="0015546D"/>
    <w:rsid w:val="00155B34"/>
    <w:rsid w:val="00157766"/>
    <w:rsid w:val="0015786C"/>
    <w:rsid w:val="00162732"/>
    <w:rsid w:val="00162F27"/>
    <w:rsid w:val="001632B4"/>
    <w:rsid w:val="0016429D"/>
    <w:rsid w:val="001655FA"/>
    <w:rsid w:val="00171422"/>
    <w:rsid w:val="0017449F"/>
    <w:rsid w:val="00175F8A"/>
    <w:rsid w:val="0017770F"/>
    <w:rsid w:val="00181DD6"/>
    <w:rsid w:val="00181F64"/>
    <w:rsid w:val="00182895"/>
    <w:rsid w:val="001837BB"/>
    <w:rsid w:val="001839B3"/>
    <w:rsid w:val="001848F0"/>
    <w:rsid w:val="001850F5"/>
    <w:rsid w:val="001851F8"/>
    <w:rsid w:val="00185A8D"/>
    <w:rsid w:val="001875E8"/>
    <w:rsid w:val="0019073D"/>
    <w:rsid w:val="00190C59"/>
    <w:rsid w:val="00190F3E"/>
    <w:rsid w:val="00194922"/>
    <w:rsid w:val="00195C9A"/>
    <w:rsid w:val="0019649D"/>
    <w:rsid w:val="00196A2D"/>
    <w:rsid w:val="00197FD3"/>
    <w:rsid w:val="001A261F"/>
    <w:rsid w:val="001A28C2"/>
    <w:rsid w:val="001A2E61"/>
    <w:rsid w:val="001A3319"/>
    <w:rsid w:val="001A3EEE"/>
    <w:rsid w:val="001A4629"/>
    <w:rsid w:val="001A4E9E"/>
    <w:rsid w:val="001A682D"/>
    <w:rsid w:val="001B03F8"/>
    <w:rsid w:val="001B06A1"/>
    <w:rsid w:val="001B391A"/>
    <w:rsid w:val="001B4014"/>
    <w:rsid w:val="001B4750"/>
    <w:rsid w:val="001B4C05"/>
    <w:rsid w:val="001B5233"/>
    <w:rsid w:val="001B556C"/>
    <w:rsid w:val="001B5BD0"/>
    <w:rsid w:val="001B6350"/>
    <w:rsid w:val="001B72B1"/>
    <w:rsid w:val="001B7802"/>
    <w:rsid w:val="001C0241"/>
    <w:rsid w:val="001C0A5F"/>
    <w:rsid w:val="001C1905"/>
    <w:rsid w:val="001C1CC9"/>
    <w:rsid w:val="001C30C2"/>
    <w:rsid w:val="001C52B1"/>
    <w:rsid w:val="001C5ADF"/>
    <w:rsid w:val="001C5C03"/>
    <w:rsid w:val="001C63EB"/>
    <w:rsid w:val="001C7420"/>
    <w:rsid w:val="001D0066"/>
    <w:rsid w:val="001D1C60"/>
    <w:rsid w:val="001D2AA6"/>
    <w:rsid w:val="001D4B49"/>
    <w:rsid w:val="001D555D"/>
    <w:rsid w:val="001D5A34"/>
    <w:rsid w:val="001D744B"/>
    <w:rsid w:val="001E1872"/>
    <w:rsid w:val="001E1D24"/>
    <w:rsid w:val="001E2779"/>
    <w:rsid w:val="001E489C"/>
    <w:rsid w:val="001E4A89"/>
    <w:rsid w:val="001F0A2B"/>
    <w:rsid w:val="001F3327"/>
    <w:rsid w:val="001F3441"/>
    <w:rsid w:val="001F35ED"/>
    <w:rsid w:val="001F36DD"/>
    <w:rsid w:val="001F3AAB"/>
    <w:rsid w:val="001F4ADC"/>
    <w:rsid w:val="001F7236"/>
    <w:rsid w:val="001F7C7F"/>
    <w:rsid w:val="002006DD"/>
    <w:rsid w:val="002027E5"/>
    <w:rsid w:val="00202A31"/>
    <w:rsid w:val="0020322D"/>
    <w:rsid w:val="00203BFD"/>
    <w:rsid w:val="00204D50"/>
    <w:rsid w:val="00204D5E"/>
    <w:rsid w:val="0020533A"/>
    <w:rsid w:val="00205CC0"/>
    <w:rsid w:val="00206473"/>
    <w:rsid w:val="002108CF"/>
    <w:rsid w:val="002119A1"/>
    <w:rsid w:val="002139FE"/>
    <w:rsid w:val="00214C33"/>
    <w:rsid w:val="002150EE"/>
    <w:rsid w:val="002153B3"/>
    <w:rsid w:val="002153D7"/>
    <w:rsid w:val="00215A84"/>
    <w:rsid w:val="00215AB3"/>
    <w:rsid w:val="00215F02"/>
    <w:rsid w:val="0022184C"/>
    <w:rsid w:val="002218C8"/>
    <w:rsid w:val="00221A51"/>
    <w:rsid w:val="00223C25"/>
    <w:rsid w:val="0022412D"/>
    <w:rsid w:val="00225D5C"/>
    <w:rsid w:val="00225EE4"/>
    <w:rsid w:val="002301C2"/>
    <w:rsid w:val="0023172D"/>
    <w:rsid w:val="00232820"/>
    <w:rsid w:val="00233168"/>
    <w:rsid w:val="00233B9E"/>
    <w:rsid w:val="002347BB"/>
    <w:rsid w:val="002354FF"/>
    <w:rsid w:val="00236BAE"/>
    <w:rsid w:val="00237A68"/>
    <w:rsid w:val="002409F6"/>
    <w:rsid w:val="002413F2"/>
    <w:rsid w:val="00241BC5"/>
    <w:rsid w:val="0024224D"/>
    <w:rsid w:val="0024259E"/>
    <w:rsid w:val="002427A2"/>
    <w:rsid w:val="00242ACF"/>
    <w:rsid w:val="0024504B"/>
    <w:rsid w:val="00245464"/>
    <w:rsid w:val="00245C42"/>
    <w:rsid w:val="002464CC"/>
    <w:rsid w:val="00246B71"/>
    <w:rsid w:val="00247C22"/>
    <w:rsid w:val="0025119E"/>
    <w:rsid w:val="00251EB1"/>
    <w:rsid w:val="00255BE9"/>
    <w:rsid w:val="00256662"/>
    <w:rsid w:val="00256714"/>
    <w:rsid w:val="0025794C"/>
    <w:rsid w:val="0026195B"/>
    <w:rsid w:val="00261B57"/>
    <w:rsid w:val="00263316"/>
    <w:rsid w:val="00263366"/>
    <w:rsid w:val="002634F0"/>
    <w:rsid w:val="00264A10"/>
    <w:rsid w:val="00265968"/>
    <w:rsid w:val="00266958"/>
    <w:rsid w:val="00266999"/>
    <w:rsid w:val="00267BAA"/>
    <w:rsid w:val="00267F1A"/>
    <w:rsid w:val="00270DFE"/>
    <w:rsid w:val="00270EAE"/>
    <w:rsid w:val="00271B3D"/>
    <w:rsid w:val="00273548"/>
    <w:rsid w:val="00273BCC"/>
    <w:rsid w:val="0027433B"/>
    <w:rsid w:val="00274FB9"/>
    <w:rsid w:val="0027702E"/>
    <w:rsid w:val="0027740D"/>
    <w:rsid w:val="002779D1"/>
    <w:rsid w:val="00281E71"/>
    <w:rsid w:val="00281E74"/>
    <w:rsid w:val="002839A4"/>
    <w:rsid w:val="00283B26"/>
    <w:rsid w:val="00290D37"/>
    <w:rsid w:val="002938E5"/>
    <w:rsid w:val="002938FE"/>
    <w:rsid w:val="00294101"/>
    <w:rsid w:val="002942A3"/>
    <w:rsid w:val="002945AB"/>
    <w:rsid w:val="00296590"/>
    <w:rsid w:val="00296837"/>
    <w:rsid w:val="00296948"/>
    <w:rsid w:val="002A041E"/>
    <w:rsid w:val="002A11BF"/>
    <w:rsid w:val="002A25F3"/>
    <w:rsid w:val="002A7B9D"/>
    <w:rsid w:val="002A7F49"/>
    <w:rsid w:val="002B2278"/>
    <w:rsid w:val="002B48EB"/>
    <w:rsid w:val="002B506C"/>
    <w:rsid w:val="002B6780"/>
    <w:rsid w:val="002B78A2"/>
    <w:rsid w:val="002B7CE9"/>
    <w:rsid w:val="002C087F"/>
    <w:rsid w:val="002C1E39"/>
    <w:rsid w:val="002C2200"/>
    <w:rsid w:val="002C498A"/>
    <w:rsid w:val="002C5506"/>
    <w:rsid w:val="002C6680"/>
    <w:rsid w:val="002C6B6B"/>
    <w:rsid w:val="002D03BC"/>
    <w:rsid w:val="002D617B"/>
    <w:rsid w:val="002E0500"/>
    <w:rsid w:val="002E0B95"/>
    <w:rsid w:val="002E0DB7"/>
    <w:rsid w:val="002E2226"/>
    <w:rsid w:val="002E2CD2"/>
    <w:rsid w:val="002E307F"/>
    <w:rsid w:val="002E3254"/>
    <w:rsid w:val="002E4607"/>
    <w:rsid w:val="002F10AA"/>
    <w:rsid w:val="002F1781"/>
    <w:rsid w:val="002F33DA"/>
    <w:rsid w:val="002F41CA"/>
    <w:rsid w:val="002F5B34"/>
    <w:rsid w:val="002F62ED"/>
    <w:rsid w:val="002F65D9"/>
    <w:rsid w:val="002F6FDC"/>
    <w:rsid w:val="002F787E"/>
    <w:rsid w:val="00302205"/>
    <w:rsid w:val="00302352"/>
    <w:rsid w:val="00302B09"/>
    <w:rsid w:val="00307CD6"/>
    <w:rsid w:val="00307D15"/>
    <w:rsid w:val="003100FC"/>
    <w:rsid w:val="00314799"/>
    <w:rsid w:val="00315808"/>
    <w:rsid w:val="00315AB8"/>
    <w:rsid w:val="00316925"/>
    <w:rsid w:val="00317DC1"/>
    <w:rsid w:val="00323D68"/>
    <w:rsid w:val="00324C3D"/>
    <w:rsid w:val="003275AF"/>
    <w:rsid w:val="003277E9"/>
    <w:rsid w:val="00331F6A"/>
    <w:rsid w:val="003326B9"/>
    <w:rsid w:val="00332A48"/>
    <w:rsid w:val="0033309F"/>
    <w:rsid w:val="00333C55"/>
    <w:rsid w:val="00335125"/>
    <w:rsid w:val="003367BE"/>
    <w:rsid w:val="00342A8A"/>
    <w:rsid w:val="00342C9A"/>
    <w:rsid w:val="0034468D"/>
    <w:rsid w:val="00345AB1"/>
    <w:rsid w:val="00346A53"/>
    <w:rsid w:val="0034788B"/>
    <w:rsid w:val="00347F11"/>
    <w:rsid w:val="0035007F"/>
    <w:rsid w:val="0035027D"/>
    <w:rsid w:val="00351736"/>
    <w:rsid w:val="003519FA"/>
    <w:rsid w:val="00351B06"/>
    <w:rsid w:val="0035250D"/>
    <w:rsid w:val="00353360"/>
    <w:rsid w:val="00353CD9"/>
    <w:rsid w:val="003540D2"/>
    <w:rsid w:val="00354F57"/>
    <w:rsid w:val="00355B76"/>
    <w:rsid w:val="003646EB"/>
    <w:rsid w:val="00365040"/>
    <w:rsid w:val="00370C3F"/>
    <w:rsid w:val="003720EC"/>
    <w:rsid w:val="00372362"/>
    <w:rsid w:val="003723C8"/>
    <w:rsid w:val="0037354F"/>
    <w:rsid w:val="003739B5"/>
    <w:rsid w:val="0037485E"/>
    <w:rsid w:val="0037519E"/>
    <w:rsid w:val="00376061"/>
    <w:rsid w:val="003765C8"/>
    <w:rsid w:val="00376B18"/>
    <w:rsid w:val="003803FA"/>
    <w:rsid w:val="003804CC"/>
    <w:rsid w:val="00380A0F"/>
    <w:rsid w:val="00380CB6"/>
    <w:rsid w:val="00382BC2"/>
    <w:rsid w:val="003832DB"/>
    <w:rsid w:val="003838FF"/>
    <w:rsid w:val="0038622A"/>
    <w:rsid w:val="00387752"/>
    <w:rsid w:val="00387BAA"/>
    <w:rsid w:val="00392B00"/>
    <w:rsid w:val="00393190"/>
    <w:rsid w:val="0039388C"/>
    <w:rsid w:val="003948EC"/>
    <w:rsid w:val="00395AE8"/>
    <w:rsid w:val="00395E38"/>
    <w:rsid w:val="003A0DFA"/>
    <w:rsid w:val="003A1695"/>
    <w:rsid w:val="003A4C58"/>
    <w:rsid w:val="003A5078"/>
    <w:rsid w:val="003A6850"/>
    <w:rsid w:val="003B08A3"/>
    <w:rsid w:val="003B0F10"/>
    <w:rsid w:val="003B1E4C"/>
    <w:rsid w:val="003B3801"/>
    <w:rsid w:val="003B52EB"/>
    <w:rsid w:val="003B5717"/>
    <w:rsid w:val="003B71B1"/>
    <w:rsid w:val="003C1FD8"/>
    <w:rsid w:val="003C3224"/>
    <w:rsid w:val="003C36BA"/>
    <w:rsid w:val="003C37ED"/>
    <w:rsid w:val="003C3EC5"/>
    <w:rsid w:val="003C4190"/>
    <w:rsid w:val="003C62FF"/>
    <w:rsid w:val="003C66AB"/>
    <w:rsid w:val="003C6A68"/>
    <w:rsid w:val="003C6E2A"/>
    <w:rsid w:val="003C789D"/>
    <w:rsid w:val="003C7C22"/>
    <w:rsid w:val="003D1F9E"/>
    <w:rsid w:val="003D7967"/>
    <w:rsid w:val="003E19E4"/>
    <w:rsid w:val="003E2B8B"/>
    <w:rsid w:val="003E487D"/>
    <w:rsid w:val="003E5775"/>
    <w:rsid w:val="003E5BDD"/>
    <w:rsid w:val="003F131B"/>
    <w:rsid w:val="003F18F0"/>
    <w:rsid w:val="003F213E"/>
    <w:rsid w:val="003F3340"/>
    <w:rsid w:val="003F473A"/>
    <w:rsid w:val="003F5F95"/>
    <w:rsid w:val="003F7A93"/>
    <w:rsid w:val="00401F8B"/>
    <w:rsid w:val="004026FE"/>
    <w:rsid w:val="004028F7"/>
    <w:rsid w:val="00402D86"/>
    <w:rsid w:val="00405880"/>
    <w:rsid w:val="00406499"/>
    <w:rsid w:val="004114D8"/>
    <w:rsid w:val="004116BF"/>
    <w:rsid w:val="00413BF7"/>
    <w:rsid w:val="00413E59"/>
    <w:rsid w:val="00420158"/>
    <w:rsid w:val="0042063A"/>
    <w:rsid w:val="0042172C"/>
    <w:rsid w:val="00422B67"/>
    <w:rsid w:val="00423D77"/>
    <w:rsid w:val="0042402F"/>
    <w:rsid w:val="0042456E"/>
    <w:rsid w:val="004248B2"/>
    <w:rsid w:val="004248B3"/>
    <w:rsid w:val="00425B18"/>
    <w:rsid w:val="00426C60"/>
    <w:rsid w:val="00430206"/>
    <w:rsid w:val="0043148C"/>
    <w:rsid w:val="004318FB"/>
    <w:rsid w:val="00431E80"/>
    <w:rsid w:val="004322EE"/>
    <w:rsid w:val="004339E8"/>
    <w:rsid w:val="00433D22"/>
    <w:rsid w:val="004354AF"/>
    <w:rsid w:val="00435D3C"/>
    <w:rsid w:val="00436447"/>
    <w:rsid w:val="00436BDB"/>
    <w:rsid w:val="00440C6C"/>
    <w:rsid w:val="0044106B"/>
    <w:rsid w:val="0044208B"/>
    <w:rsid w:val="00442A42"/>
    <w:rsid w:val="00443C71"/>
    <w:rsid w:val="00444B1B"/>
    <w:rsid w:val="004453E4"/>
    <w:rsid w:val="004459E0"/>
    <w:rsid w:val="00450827"/>
    <w:rsid w:val="00451A16"/>
    <w:rsid w:val="00454172"/>
    <w:rsid w:val="00456EDE"/>
    <w:rsid w:val="0046010C"/>
    <w:rsid w:val="00460B18"/>
    <w:rsid w:val="00460BAB"/>
    <w:rsid w:val="004625DF"/>
    <w:rsid w:val="004648F3"/>
    <w:rsid w:val="00464AE2"/>
    <w:rsid w:val="0046511E"/>
    <w:rsid w:val="00466CF4"/>
    <w:rsid w:val="00473392"/>
    <w:rsid w:val="004738F9"/>
    <w:rsid w:val="004739A4"/>
    <w:rsid w:val="00474819"/>
    <w:rsid w:val="00474F09"/>
    <w:rsid w:val="00475220"/>
    <w:rsid w:val="00475B09"/>
    <w:rsid w:val="004761EF"/>
    <w:rsid w:val="00480633"/>
    <w:rsid w:val="00480A7C"/>
    <w:rsid w:val="00482008"/>
    <w:rsid w:val="00483821"/>
    <w:rsid w:val="0048418A"/>
    <w:rsid w:val="00485D3C"/>
    <w:rsid w:val="00487A02"/>
    <w:rsid w:val="00487BED"/>
    <w:rsid w:val="004900B3"/>
    <w:rsid w:val="00493165"/>
    <w:rsid w:val="0049377B"/>
    <w:rsid w:val="0049400B"/>
    <w:rsid w:val="004947FE"/>
    <w:rsid w:val="00497DE7"/>
    <w:rsid w:val="004A1040"/>
    <w:rsid w:val="004A1A5A"/>
    <w:rsid w:val="004A2F3D"/>
    <w:rsid w:val="004A38E6"/>
    <w:rsid w:val="004A69BA"/>
    <w:rsid w:val="004A719E"/>
    <w:rsid w:val="004A75BB"/>
    <w:rsid w:val="004B0C26"/>
    <w:rsid w:val="004B1121"/>
    <w:rsid w:val="004B11E8"/>
    <w:rsid w:val="004B43A3"/>
    <w:rsid w:val="004B4AEF"/>
    <w:rsid w:val="004B66E6"/>
    <w:rsid w:val="004C03E7"/>
    <w:rsid w:val="004C32B4"/>
    <w:rsid w:val="004C4E65"/>
    <w:rsid w:val="004C57F7"/>
    <w:rsid w:val="004D384B"/>
    <w:rsid w:val="004D504B"/>
    <w:rsid w:val="004D743E"/>
    <w:rsid w:val="004E1737"/>
    <w:rsid w:val="004E3B91"/>
    <w:rsid w:val="004E60E5"/>
    <w:rsid w:val="004E666A"/>
    <w:rsid w:val="004F1B91"/>
    <w:rsid w:val="004F2BB8"/>
    <w:rsid w:val="004F36AD"/>
    <w:rsid w:val="004F3875"/>
    <w:rsid w:val="004F3DA1"/>
    <w:rsid w:val="004F58F4"/>
    <w:rsid w:val="004F791F"/>
    <w:rsid w:val="004F7C38"/>
    <w:rsid w:val="00500C98"/>
    <w:rsid w:val="00500CEA"/>
    <w:rsid w:val="00504E8A"/>
    <w:rsid w:val="005059C0"/>
    <w:rsid w:val="00505AF3"/>
    <w:rsid w:val="00507333"/>
    <w:rsid w:val="00512464"/>
    <w:rsid w:val="005126E2"/>
    <w:rsid w:val="00513D79"/>
    <w:rsid w:val="00514088"/>
    <w:rsid w:val="00514A32"/>
    <w:rsid w:val="00517EA4"/>
    <w:rsid w:val="005211E3"/>
    <w:rsid w:val="00522906"/>
    <w:rsid w:val="005229B0"/>
    <w:rsid w:val="00523025"/>
    <w:rsid w:val="00524323"/>
    <w:rsid w:val="0052595B"/>
    <w:rsid w:val="00525D01"/>
    <w:rsid w:val="005265F0"/>
    <w:rsid w:val="00530E75"/>
    <w:rsid w:val="00531283"/>
    <w:rsid w:val="00531652"/>
    <w:rsid w:val="00532FF3"/>
    <w:rsid w:val="005332D2"/>
    <w:rsid w:val="00534954"/>
    <w:rsid w:val="0053502F"/>
    <w:rsid w:val="00535659"/>
    <w:rsid w:val="00535CE6"/>
    <w:rsid w:val="005361A4"/>
    <w:rsid w:val="00536791"/>
    <w:rsid w:val="00537BED"/>
    <w:rsid w:val="0054084C"/>
    <w:rsid w:val="005421C2"/>
    <w:rsid w:val="0054239B"/>
    <w:rsid w:val="00542541"/>
    <w:rsid w:val="00544520"/>
    <w:rsid w:val="0054490F"/>
    <w:rsid w:val="005458AC"/>
    <w:rsid w:val="00545B36"/>
    <w:rsid w:val="00545F3C"/>
    <w:rsid w:val="00547CC7"/>
    <w:rsid w:val="005506AD"/>
    <w:rsid w:val="005506BD"/>
    <w:rsid w:val="005508F7"/>
    <w:rsid w:val="005514CA"/>
    <w:rsid w:val="00551E97"/>
    <w:rsid w:val="0055280E"/>
    <w:rsid w:val="00552E2F"/>
    <w:rsid w:val="00554310"/>
    <w:rsid w:val="005555BB"/>
    <w:rsid w:val="00557A4E"/>
    <w:rsid w:val="00561AF6"/>
    <w:rsid w:val="00562515"/>
    <w:rsid w:val="005626B5"/>
    <w:rsid w:val="005634CD"/>
    <w:rsid w:val="0056390E"/>
    <w:rsid w:val="00564270"/>
    <w:rsid w:val="00565757"/>
    <w:rsid w:val="0057022C"/>
    <w:rsid w:val="005703AA"/>
    <w:rsid w:val="005708D0"/>
    <w:rsid w:val="0057312F"/>
    <w:rsid w:val="00573673"/>
    <w:rsid w:val="0057373A"/>
    <w:rsid w:val="0057411E"/>
    <w:rsid w:val="00575036"/>
    <w:rsid w:val="0057543B"/>
    <w:rsid w:val="00575A75"/>
    <w:rsid w:val="005779F3"/>
    <w:rsid w:val="005809F1"/>
    <w:rsid w:val="00582E78"/>
    <w:rsid w:val="00583536"/>
    <w:rsid w:val="00583B65"/>
    <w:rsid w:val="005841C2"/>
    <w:rsid w:val="00595874"/>
    <w:rsid w:val="00596319"/>
    <w:rsid w:val="0059656F"/>
    <w:rsid w:val="0059701B"/>
    <w:rsid w:val="00597452"/>
    <w:rsid w:val="005A0EFB"/>
    <w:rsid w:val="005A18CC"/>
    <w:rsid w:val="005A21B3"/>
    <w:rsid w:val="005A269A"/>
    <w:rsid w:val="005A26A1"/>
    <w:rsid w:val="005A2886"/>
    <w:rsid w:val="005A317A"/>
    <w:rsid w:val="005A4399"/>
    <w:rsid w:val="005A5211"/>
    <w:rsid w:val="005A67DE"/>
    <w:rsid w:val="005B0A23"/>
    <w:rsid w:val="005B14FD"/>
    <w:rsid w:val="005B240A"/>
    <w:rsid w:val="005B2823"/>
    <w:rsid w:val="005B3272"/>
    <w:rsid w:val="005B4779"/>
    <w:rsid w:val="005B486E"/>
    <w:rsid w:val="005B7AF4"/>
    <w:rsid w:val="005C284F"/>
    <w:rsid w:val="005C2A96"/>
    <w:rsid w:val="005C37B7"/>
    <w:rsid w:val="005C3B17"/>
    <w:rsid w:val="005C3D1D"/>
    <w:rsid w:val="005C413F"/>
    <w:rsid w:val="005C4421"/>
    <w:rsid w:val="005C6924"/>
    <w:rsid w:val="005C6FFF"/>
    <w:rsid w:val="005D2953"/>
    <w:rsid w:val="005D36A7"/>
    <w:rsid w:val="005D556F"/>
    <w:rsid w:val="005D6F10"/>
    <w:rsid w:val="005E07C4"/>
    <w:rsid w:val="005E0850"/>
    <w:rsid w:val="005E0A31"/>
    <w:rsid w:val="005E1C0A"/>
    <w:rsid w:val="005E4D02"/>
    <w:rsid w:val="005E741D"/>
    <w:rsid w:val="005F0692"/>
    <w:rsid w:val="005F1962"/>
    <w:rsid w:val="005F1F99"/>
    <w:rsid w:val="005F49A8"/>
    <w:rsid w:val="005F607C"/>
    <w:rsid w:val="005F6216"/>
    <w:rsid w:val="005F7E22"/>
    <w:rsid w:val="006005FD"/>
    <w:rsid w:val="00600950"/>
    <w:rsid w:val="00601048"/>
    <w:rsid w:val="006010EB"/>
    <w:rsid w:val="00602073"/>
    <w:rsid w:val="00603EE7"/>
    <w:rsid w:val="00603FB7"/>
    <w:rsid w:val="006043A4"/>
    <w:rsid w:val="00605C33"/>
    <w:rsid w:val="00606648"/>
    <w:rsid w:val="00607940"/>
    <w:rsid w:val="00610D47"/>
    <w:rsid w:val="00612C24"/>
    <w:rsid w:val="00612E0A"/>
    <w:rsid w:val="00613523"/>
    <w:rsid w:val="00615D6F"/>
    <w:rsid w:val="006164A3"/>
    <w:rsid w:val="00616752"/>
    <w:rsid w:val="00620FE6"/>
    <w:rsid w:val="00621A73"/>
    <w:rsid w:val="00622070"/>
    <w:rsid w:val="00624EFA"/>
    <w:rsid w:val="00624F99"/>
    <w:rsid w:val="00627471"/>
    <w:rsid w:val="00630914"/>
    <w:rsid w:val="0063172B"/>
    <w:rsid w:val="00631DA2"/>
    <w:rsid w:val="006328AD"/>
    <w:rsid w:val="00632C6E"/>
    <w:rsid w:val="00634B66"/>
    <w:rsid w:val="00635B9C"/>
    <w:rsid w:val="006363BB"/>
    <w:rsid w:val="00636CF3"/>
    <w:rsid w:val="0063715D"/>
    <w:rsid w:val="006375EA"/>
    <w:rsid w:val="006400B8"/>
    <w:rsid w:val="0064086F"/>
    <w:rsid w:val="00640E76"/>
    <w:rsid w:val="00641FFA"/>
    <w:rsid w:val="00644077"/>
    <w:rsid w:val="00644211"/>
    <w:rsid w:val="00644D20"/>
    <w:rsid w:val="006450F6"/>
    <w:rsid w:val="0064543B"/>
    <w:rsid w:val="006470CC"/>
    <w:rsid w:val="00647720"/>
    <w:rsid w:val="00650806"/>
    <w:rsid w:val="0065106F"/>
    <w:rsid w:val="00652ABE"/>
    <w:rsid w:val="006557FF"/>
    <w:rsid w:val="006568F9"/>
    <w:rsid w:val="006601C2"/>
    <w:rsid w:val="00660A68"/>
    <w:rsid w:val="00660D3F"/>
    <w:rsid w:val="00661C5C"/>
    <w:rsid w:val="006624CF"/>
    <w:rsid w:val="00662562"/>
    <w:rsid w:val="00663B88"/>
    <w:rsid w:val="006645AF"/>
    <w:rsid w:val="00665423"/>
    <w:rsid w:val="006662AF"/>
    <w:rsid w:val="00667C7F"/>
    <w:rsid w:val="00667CEA"/>
    <w:rsid w:val="00667F50"/>
    <w:rsid w:val="00670225"/>
    <w:rsid w:val="00671B23"/>
    <w:rsid w:val="00671E3C"/>
    <w:rsid w:val="00673A2F"/>
    <w:rsid w:val="00673B40"/>
    <w:rsid w:val="00676053"/>
    <w:rsid w:val="00677E7C"/>
    <w:rsid w:val="0068154A"/>
    <w:rsid w:val="006818AE"/>
    <w:rsid w:val="00681A1F"/>
    <w:rsid w:val="00682534"/>
    <w:rsid w:val="0068354D"/>
    <w:rsid w:val="00683B00"/>
    <w:rsid w:val="006862C6"/>
    <w:rsid w:val="006879DC"/>
    <w:rsid w:val="0069003E"/>
    <w:rsid w:val="00690242"/>
    <w:rsid w:val="00692126"/>
    <w:rsid w:val="00692538"/>
    <w:rsid w:val="006936AA"/>
    <w:rsid w:val="0069580B"/>
    <w:rsid w:val="00695CF3"/>
    <w:rsid w:val="00696183"/>
    <w:rsid w:val="00697497"/>
    <w:rsid w:val="006A06C8"/>
    <w:rsid w:val="006A0923"/>
    <w:rsid w:val="006A113A"/>
    <w:rsid w:val="006A13CA"/>
    <w:rsid w:val="006A61F6"/>
    <w:rsid w:val="006A6920"/>
    <w:rsid w:val="006A7A5F"/>
    <w:rsid w:val="006B063F"/>
    <w:rsid w:val="006B27A1"/>
    <w:rsid w:val="006B57AF"/>
    <w:rsid w:val="006B6279"/>
    <w:rsid w:val="006B7214"/>
    <w:rsid w:val="006B738C"/>
    <w:rsid w:val="006B7890"/>
    <w:rsid w:val="006C0834"/>
    <w:rsid w:val="006C0FCD"/>
    <w:rsid w:val="006C17A4"/>
    <w:rsid w:val="006C247A"/>
    <w:rsid w:val="006C4FD4"/>
    <w:rsid w:val="006C59F9"/>
    <w:rsid w:val="006C6634"/>
    <w:rsid w:val="006C72D1"/>
    <w:rsid w:val="006D0249"/>
    <w:rsid w:val="006D0878"/>
    <w:rsid w:val="006D1591"/>
    <w:rsid w:val="006D743D"/>
    <w:rsid w:val="006E048A"/>
    <w:rsid w:val="006E131B"/>
    <w:rsid w:val="006E1463"/>
    <w:rsid w:val="006E222C"/>
    <w:rsid w:val="006E424F"/>
    <w:rsid w:val="006E5A9F"/>
    <w:rsid w:val="006F2EF8"/>
    <w:rsid w:val="006F53DF"/>
    <w:rsid w:val="006F6088"/>
    <w:rsid w:val="007000FD"/>
    <w:rsid w:val="00701DF8"/>
    <w:rsid w:val="00701F82"/>
    <w:rsid w:val="00702F35"/>
    <w:rsid w:val="00703C70"/>
    <w:rsid w:val="00705F24"/>
    <w:rsid w:val="00707707"/>
    <w:rsid w:val="0070772C"/>
    <w:rsid w:val="007116E8"/>
    <w:rsid w:val="007125D5"/>
    <w:rsid w:val="00712E73"/>
    <w:rsid w:val="00713460"/>
    <w:rsid w:val="007148CC"/>
    <w:rsid w:val="00716342"/>
    <w:rsid w:val="007179EE"/>
    <w:rsid w:val="007201EC"/>
    <w:rsid w:val="007214CD"/>
    <w:rsid w:val="00722B77"/>
    <w:rsid w:val="00724930"/>
    <w:rsid w:val="0072707A"/>
    <w:rsid w:val="0072779A"/>
    <w:rsid w:val="007277CD"/>
    <w:rsid w:val="007300BA"/>
    <w:rsid w:val="0073038F"/>
    <w:rsid w:val="00730DFB"/>
    <w:rsid w:val="00732E36"/>
    <w:rsid w:val="00733F6C"/>
    <w:rsid w:val="00742319"/>
    <w:rsid w:val="00742B07"/>
    <w:rsid w:val="00743E5F"/>
    <w:rsid w:val="00746393"/>
    <w:rsid w:val="00746BA6"/>
    <w:rsid w:val="00746F0E"/>
    <w:rsid w:val="00752100"/>
    <w:rsid w:val="00752DF7"/>
    <w:rsid w:val="00753628"/>
    <w:rsid w:val="00753A1C"/>
    <w:rsid w:val="00753A6F"/>
    <w:rsid w:val="00756E15"/>
    <w:rsid w:val="00757DB3"/>
    <w:rsid w:val="00760589"/>
    <w:rsid w:val="00761DD0"/>
    <w:rsid w:val="007666A6"/>
    <w:rsid w:val="00767C3A"/>
    <w:rsid w:val="00770757"/>
    <w:rsid w:val="00771632"/>
    <w:rsid w:val="00772873"/>
    <w:rsid w:val="00776B17"/>
    <w:rsid w:val="00777DFF"/>
    <w:rsid w:val="0078248A"/>
    <w:rsid w:val="00784781"/>
    <w:rsid w:val="00785BD8"/>
    <w:rsid w:val="007863FB"/>
    <w:rsid w:val="00786D82"/>
    <w:rsid w:val="00787156"/>
    <w:rsid w:val="007909A3"/>
    <w:rsid w:val="00790BDB"/>
    <w:rsid w:val="00791304"/>
    <w:rsid w:val="00793220"/>
    <w:rsid w:val="007935E3"/>
    <w:rsid w:val="00797AC2"/>
    <w:rsid w:val="007A0A7F"/>
    <w:rsid w:val="007A2813"/>
    <w:rsid w:val="007A2BB0"/>
    <w:rsid w:val="007A2F3E"/>
    <w:rsid w:val="007A74A8"/>
    <w:rsid w:val="007A760C"/>
    <w:rsid w:val="007B0445"/>
    <w:rsid w:val="007B080D"/>
    <w:rsid w:val="007B0CA8"/>
    <w:rsid w:val="007B1A0C"/>
    <w:rsid w:val="007B254C"/>
    <w:rsid w:val="007B4556"/>
    <w:rsid w:val="007B697E"/>
    <w:rsid w:val="007B7079"/>
    <w:rsid w:val="007B713F"/>
    <w:rsid w:val="007B7BDC"/>
    <w:rsid w:val="007C0524"/>
    <w:rsid w:val="007C2E70"/>
    <w:rsid w:val="007C314F"/>
    <w:rsid w:val="007C50E1"/>
    <w:rsid w:val="007C5933"/>
    <w:rsid w:val="007C6561"/>
    <w:rsid w:val="007C66C3"/>
    <w:rsid w:val="007C7E96"/>
    <w:rsid w:val="007D0FCE"/>
    <w:rsid w:val="007D14E9"/>
    <w:rsid w:val="007D1A6A"/>
    <w:rsid w:val="007D36A0"/>
    <w:rsid w:val="007D3BA0"/>
    <w:rsid w:val="007D46F0"/>
    <w:rsid w:val="007D5176"/>
    <w:rsid w:val="007D5901"/>
    <w:rsid w:val="007D6BC5"/>
    <w:rsid w:val="007E0991"/>
    <w:rsid w:val="007E0D22"/>
    <w:rsid w:val="007E150E"/>
    <w:rsid w:val="007E23D7"/>
    <w:rsid w:val="007E319E"/>
    <w:rsid w:val="007E6B0F"/>
    <w:rsid w:val="007E72F5"/>
    <w:rsid w:val="007F0460"/>
    <w:rsid w:val="007F1187"/>
    <w:rsid w:val="007F14CF"/>
    <w:rsid w:val="007F1F44"/>
    <w:rsid w:val="007F3473"/>
    <w:rsid w:val="007F6F4E"/>
    <w:rsid w:val="007F7350"/>
    <w:rsid w:val="007F76DE"/>
    <w:rsid w:val="00800B86"/>
    <w:rsid w:val="00802071"/>
    <w:rsid w:val="00805648"/>
    <w:rsid w:val="0080565D"/>
    <w:rsid w:val="00805663"/>
    <w:rsid w:val="00806BE3"/>
    <w:rsid w:val="00807645"/>
    <w:rsid w:val="00807B45"/>
    <w:rsid w:val="00812D51"/>
    <w:rsid w:val="008135AC"/>
    <w:rsid w:val="00813E63"/>
    <w:rsid w:val="0081419C"/>
    <w:rsid w:val="008164E7"/>
    <w:rsid w:val="00820428"/>
    <w:rsid w:val="00820B27"/>
    <w:rsid w:val="00821B8E"/>
    <w:rsid w:val="0082401C"/>
    <w:rsid w:val="00825C24"/>
    <w:rsid w:val="00827C78"/>
    <w:rsid w:val="00832B6D"/>
    <w:rsid w:val="00832ECD"/>
    <w:rsid w:val="00833885"/>
    <w:rsid w:val="00834077"/>
    <w:rsid w:val="008358F6"/>
    <w:rsid w:val="0083695B"/>
    <w:rsid w:val="008407CA"/>
    <w:rsid w:val="00840C4B"/>
    <w:rsid w:val="00843AFD"/>
    <w:rsid w:val="00844980"/>
    <w:rsid w:val="00846593"/>
    <w:rsid w:val="00846BAF"/>
    <w:rsid w:val="00846C7A"/>
    <w:rsid w:val="00847891"/>
    <w:rsid w:val="00851817"/>
    <w:rsid w:val="00852F5B"/>
    <w:rsid w:val="00854771"/>
    <w:rsid w:val="00856D42"/>
    <w:rsid w:val="008573C2"/>
    <w:rsid w:val="0086057E"/>
    <w:rsid w:val="0086343B"/>
    <w:rsid w:val="00863661"/>
    <w:rsid w:val="00863D6A"/>
    <w:rsid w:val="00864C9D"/>
    <w:rsid w:val="0086672B"/>
    <w:rsid w:val="00866D42"/>
    <w:rsid w:val="00872AE0"/>
    <w:rsid w:val="008739C1"/>
    <w:rsid w:val="00873F6E"/>
    <w:rsid w:val="00874C48"/>
    <w:rsid w:val="00874F13"/>
    <w:rsid w:val="00875331"/>
    <w:rsid w:val="008755D9"/>
    <w:rsid w:val="00876113"/>
    <w:rsid w:val="00876ADC"/>
    <w:rsid w:val="00880360"/>
    <w:rsid w:val="00881B48"/>
    <w:rsid w:val="0088241F"/>
    <w:rsid w:val="0088411F"/>
    <w:rsid w:val="00885F3F"/>
    <w:rsid w:val="008867CC"/>
    <w:rsid w:val="00886AE8"/>
    <w:rsid w:val="008875BA"/>
    <w:rsid w:val="00891D8C"/>
    <w:rsid w:val="008925E6"/>
    <w:rsid w:val="008938FF"/>
    <w:rsid w:val="008940E4"/>
    <w:rsid w:val="008972F1"/>
    <w:rsid w:val="008975E3"/>
    <w:rsid w:val="00897C6B"/>
    <w:rsid w:val="008A0726"/>
    <w:rsid w:val="008A0E17"/>
    <w:rsid w:val="008A160F"/>
    <w:rsid w:val="008A27D2"/>
    <w:rsid w:val="008A2A1C"/>
    <w:rsid w:val="008A2F90"/>
    <w:rsid w:val="008A414E"/>
    <w:rsid w:val="008A4D2B"/>
    <w:rsid w:val="008A65DC"/>
    <w:rsid w:val="008A66F7"/>
    <w:rsid w:val="008A7E48"/>
    <w:rsid w:val="008A7FC6"/>
    <w:rsid w:val="008B145D"/>
    <w:rsid w:val="008B2A76"/>
    <w:rsid w:val="008B5922"/>
    <w:rsid w:val="008B673E"/>
    <w:rsid w:val="008C0133"/>
    <w:rsid w:val="008C0525"/>
    <w:rsid w:val="008C0B87"/>
    <w:rsid w:val="008C1526"/>
    <w:rsid w:val="008C24D1"/>
    <w:rsid w:val="008C4412"/>
    <w:rsid w:val="008C4436"/>
    <w:rsid w:val="008C44AC"/>
    <w:rsid w:val="008C4996"/>
    <w:rsid w:val="008C59AA"/>
    <w:rsid w:val="008C5A08"/>
    <w:rsid w:val="008C5C92"/>
    <w:rsid w:val="008C731C"/>
    <w:rsid w:val="008C7621"/>
    <w:rsid w:val="008D1974"/>
    <w:rsid w:val="008D3C3E"/>
    <w:rsid w:val="008D4911"/>
    <w:rsid w:val="008D61A3"/>
    <w:rsid w:val="008D6646"/>
    <w:rsid w:val="008D7636"/>
    <w:rsid w:val="008E01E7"/>
    <w:rsid w:val="008E03A4"/>
    <w:rsid w:val="008E4463"/>
    <w:rsid w:val="008E49E6"/>
    <w:rsid w:val="008E61A1"/>
    <w:rsid w:val="008F1619"/>
    <w:rsid w:val="008F3156"/>
    <w:rsid w:val="008F382B"/>
    <w:rsid w:val="008F4B8D"/>
    <w:rsid w:val="008F4FBC"/>
    <w:rsid w:val="008F52AF"/>
    <w:rsid w:val="008F6944"/>
    <w:rsid w:val="008F7E65"/>
    <w:rsid w:val="009007FC"/>
    <w:rsid w:val="009043AA"/>
    <w:rsid w:val="00904442"/>
    <w:rsid w:val="00904CEE"/>
    <w:rsid w:val="00905441"/>
    <w:rsid w:val="00905EB4"/>
    <w:rsid w:val="009062B2"/>
    <w:rsid w:val="00906431"/>
    <w:rsid w:val="00907849"/>
    <w:rsid w:val="00910660"/>
    <w:rsid w:val="0091098F"/>
    <w:rsid w:val="009125FA"/>
    <w:rsid w:val="0091571C"/>
    <w:rsid w:val="00915D39"/>
    <w:rsid w:val="00917231"/>
    <w:rsid w:val="00920E83"/>
    <w:rsid w:val="009222A8"/>
    <w:rsid w:val="009228D8"/>
    <w:rsid w:val="009235E7"/>
    <w:rsid w:val="009244A9"/>
    <w:rsid w:val="00925F73"/>
    <w:rsid w:val="009264B0"/>
    <w:rsid w:val="00926A34"/>
    <w:rsid w:val="00927141"/>
    <w:rsid w:val="00930B54"/>
    <w:rsid w:val="0093244A"/>
    <w:rsid w:val="00932B4B"/>
    <w:rsid w:val="00934210"/>
    <w:rsid w:val="00935212"/>
    <w:rsid w:val="0093528F"/>
    <w:rsid w:val="00936B25"/>
    <w:rsid w:val="0094125D"/>
    <w:rsid w:val="00942634"/>
    <w:rsid w:val="00943557"/>
    <w:rsid w:val="009468B8"/>
    <w:rsid w:val="00946C10"/>
    <w:rsid w:val="00947110"/>
    <w:rsid w:val="00947D41"/>
    <w:rsid w:val="009509FB"/>
    <w:rsid w:val="009513A0"/>
    <w:rsid w:val="00951E28"/>
    <w:rsid w:val="00952F9D"/>
    <w:rsid w:val="00955DD4"/>
    <w:rsid w:val="009561E4"/>
    <w:rsid w:val="0096096B"/>
    <w:rsid w:val="00962087"/>
    <w:rsid w:val="0096538E"/>
    <w:rsid w:val="009653BC"/>
    <w:rsid w:val="0096586A"/>
    <w:rsid w:val="0096608F"/>
    <w:rsid w:val="00967A0F"/>
    <w:rsid w:val="00970226"/>
    <w:rsid w:val="00972613"/>
    <w:rsid w:val="009741B2"/>
    <w:rsid w:val="00974A02"/>
    <w:rsid w:val="00976FB7"/>
    <w:rsid w:val="0097745E"/>
    <w:rsid w:val="00977916"/>
    <w:rsid w:val="00977FE5"/>
    <w:rsid w:val="00981893"/>
    <w:rsid w:val="009825A7"/>
    <w:rsid w:val="00982D05"/>
    <w:rsid w:val="009839B7"/>
    <w:rsid w:val="00984C24"/>
    <w:rsid w:val="00985AD1"/>
    <w:rsid w:val="009866A7"/>
    <w:rsid w:val="00990EDA"/>
    <w:rsid w:val="0099130B"/>
    <w:rsid w:val="00991BEA"/>
    <w:rsid w:val="0099211F"/>
    <w:rsid w:val="00992482"/>
    <w:rsid w:val="0099298E"/>
    <w:rsid w:val="009939DF"/>
    <w:rsid w:val="009A16AB"/>
    <w:rsid w:val="009A43CA"/>
    <w:rsid w:val="009A4E24"/>
    <w:rsid w:val="009A5062"/>
    <w:rsid w:val="009A71CF"/>
    <w:rsid w:val="009A774D"/>
    <w:rsid w:val="009B0710"/>
    <w:rsid w:val="009B0936"/>
    <w:rsid w:val="009B2374"/>
    <w:rsid w:val="009B2403"/>
    <w:rsid w:val="009B2930"/>
    <w:rsid w:val="009B4B8E"/>
    <w:rsid w:val="009C2EC8"/>
    <w:rsid w:val="009C5B6D"/>
    <w:rsid w:val="009C5D36"/>
    <w:rsid w:val="009D0C59"/>
    <w:rsid w:val="009D30F6"/>
    <w:rsid w:val="009D40AF"/>
    <w:rsid w:val="009D4DB0"/>
    <w:rsid w:val="009E0F1A"/>
    <w:rsid w:val="009E194D"/>
    <w:rsid w:val="009E3439"/>
    <w:rsid w:val="009E3624"/>
    <w:rsid w:val="009E3AD1"/>
    <w:rsid w:val="009E4560"/>
    <w:rsid w:val="009E486D"/>
    <w:rsid w:val="009E4A1D"/>
    <w:rsid w:val="009E64BD"/>
    <w:rsid w:val="009E795F"/>
    <w:rsid w:val="009F0FAC"/>
    <w:rsid w:val="009F31E2"/>
    <w:rsid w:val="009F3263"/>
    <w:rsid w:val="009F331E"/>
    <w:rsid w:val="009F5BD5"/>
    <w:rsid w:val="009F7CD3"/>
    <w:rsid w:val="00A03335"/>
    <w:rsid w:val="00A04610"/>
    <w:rsid w:val="00A05FCA"/>
    <w:rsid w:val="00A10963"/>
    <w:rsid w:val="00A142A0"/>
    <w:rsid w:val="00A155BC"/>
    <w:rsid w:val="00A15FA9"/>
    <w:rsid w:val="00A16189"/>
    <w:rsid w:val="00A173DA"/>
    <w:rsid w:val="00A178C3"/>
    <w:rsid w:val="00A21E52"/>
    <w:rsid w:val="00A24468"/>
    <w:rsid w:val="00A2477A"/>
    <w:rsid w:val="00A2561E"/>
    <w:rsid w:val="00A26AD5"/>
    <w:rsid w:val="00A27423"/>
    <w:rsid w:val="00A27D54"/>
    <w:rsid w:val="00A3135C"/>
    <w:rsid w:val="00A323B9"/>
    <w:rsid w:val="00A359EA"/>
    <w:rsid w:val="00A362BA"/>
    <w:rsid w:val="00A364C2"/>
    <w:rsid w:val="00A37EC1"/>
    <w:rsid w:val="00A40145"/>
    <w:rsid w:val="00A44B33"/>
    <w:rsid w:val="00A44C69"/>
    <w:rsid w:val="00A462C8"/>
    <w:rsid w:val="00A46309"/>
    <w:rsid w:val="00A475B9"/>
    <w:rsid w:val="00A4777D"/>
    <w:rsid w:val="00A526D9"/>
    <w:rsid w:val="00A52E4F"/>
    <w:rsid w:val="00A572C3"/>
    <w:rsid w:val="00A5796D"/>
    <w:rsid w:val="00A6194A"/>
    <w:rsid w:val="00A61E9F"/>
    <w:rsid w:val="00A62474"/>
    <w:rsid w:val="00A63F7A"/>
    <w:rsid w:val="00A63FF5"/>
    <w:rsid w:val="00A65251"/>
    <w:rsid w:val="00A66239"/>
    <w:rsid w:val="00A6696E"/>
    <w:rsid w:val="00A66C13"/>
    <w:rsid w:val="00A67535"/>
    <w:rsid w:val="00A70328"/>
    <w:rsid w:val="00A70608"/>
    <w:rsid w:val="00A70664"/>
    <w:rsid w:val="00A70E37"/>
    <w:rsid w:val="00A722D6"/>
    <w:rsid w:val="00A73247"/>
    <w:rsid w:val="00A76A79"/>
    <w:rsid w:val="00A81925"/>
    <w:rsid w:val="00A8324F"/>
    <w:rsid w:val="00A83980"/>
    <w:rsid w:val="00A8579D"/>
    <w:rsid w:val="00A86F46"/>
    <w:rsid w:val="00A90520"/>
    <w:rsid w:val="00A9134F"/>
    <w:rsid w:val="00A9405D"/>
    <w:rsid w:val="00A942F0"/>
    <w:rsid w:val="00A969F7"/>
    <w:rsid w:val="00A96D5E"/>
    <w:rsid w:val="00A96E44"/>
    <w:rsid w:val="00AA0FE2"/>
    <w:rsid w:val="00AA2B5F"/>
    <w:rsid w:val="00AA3CC0"/>
    <w:rsid w:val="00AA3CEB"/>
    <w:rsid w:val="00AA46B6"/>
    <w:rsid w:val="00AA6CF0"/>
    <w:rsid w:val="00AB4AB4"/>
    <w:rsid w:val="00AB7B0F"/>
    <w:rsid w:val="00AC02FC"/>
    <w:rsid w:val="00AC0B73"/>
    <w:rsid w:val="00AC19BE"/>
    <w:rsid w:val="00AC1CB3"/>
    <w:rsid w:val="00AC4794"/>
    <w:rsid w:val="00AC6191"/>
    <w:rsid w:val="00AC7E7B"/>
    <w:rsid w:val="00AD09FC"/>
    <w:rsid w:val="00AD1889"/>
    <w:rsid w:val="00AD2F9F"/>
    <w:rsid w:val="00AD47EC"/>
    <w:rsid w:val="00AD4981"/>
    <w:rsid w:val="00AD6291"/>
    <w:rsid w:val="00AD7832"/>
    <w:rsid w:val="00AE0BE5"/>
    <w:rsid w:val="00AE1210"/>
    <w:rsid w:val="00AE26C8"/>
    <w:rsid w:val="00AE27AC"/>
    <w:rsid w:val="00AE2AA2"/>
    <w:rsid w:val="00AE3C41"/>
    <w:rsid w:val="00AE4562"/>
    <w:rsid w:val="00AE4D96"/>
    <w:rsid w:val="00AE7E0F"/>
    <w:rsid w:val="00AF1132"/>
    <w:rsid w:val="00AF1E89"/>
    <w:rsid w:val="00AF1F2A"/>
    <w:rsid w:val="00AF35B2"/>
    <w:rsid w:val="00AF5CB4"/>
    <w:rsid w:val="00AF62AD"/>
    <w:rsid w:val="00AF6CF1"/>
    <w:rsid w:val="00AF7B3B"/>
    <w:rsid w:val="00B038F9"/>
    <w:rsid w:val="00B05592"/>
    <w:rsid w:val="00B05BBB"/>
    <w:rsid w:val="00B060B5"/>
    <w:rsid w:val="00B103B4"/>
    <w:rsid w:val="00B10519"/>
    <w:rsid w:val="00B10767"/>
    <w:rsid w:val="00B1397C"/>
    <w:rsid w:val="00B13E0D"/>
    <w:rsid w:val="00B15459"/>
    <w:rsid w:val="00B15E2D"/>
    <w:rsid w:val="00B1713D"/>
    <w:rsid w:val="00B17ED3"/>
    <w:rsid w:val="00B2048A"/>
    <w:rsid w:val="00B21147"/>
    <w:rsid w:val="00B21F00"/>
    <w:rsid w:val="00B24E39"/>
    <w:rsid w:val="00B25CF2"/>
    <w:rsid w:val="00B2725D"/>
    <w:rsid w:val="00B32768"/>
    <w:rsid w:val="00B3300B"/>
    <w:rsid w:val="00B34C41"/>
    <w:rsid w:val="00B34E16"/>
    <w:rsid w:val="00B36F1D"/>
    <w:rsid w:val="00B410E7"/>
    <w:rsid w:val="00B41AAA"/>
    <w:rsid w:val="00B42141"/>
    <w:rsid w:val="00B424C2"/>
    <w:rsid w:val="00B4270A"/>
    <w:rsid w:val="00B43288"/>
    <w:rsid w:val="00B44620"/>
    <w:rsid w:val="00B4489C"/>
    <w:rsid w:val="00B448A7"/>
    <w:rsid w:val="00B4727E"/>
    <w:rsid w:val="00B47580"/>
    <w:rsid w:val="00B47A61"/>
    <w:rsid w:val="00B47EA0"/>
    <w:rsid w:val="00B5028A"/>
    <w:rsid w:val="00B514AA"/>
    <w:rsid w:val="00B52C0B"/>
    <w:rsid w:val="00B52D43"/>
    <w:rsid w:val="00B546DE"/>
    <w:rsid w:val="00B555FF"/>
    <w:rsid w:val="00B57FF6"/>
    <w:rsid w:val="00B629A2"/>
    <w:rsid w:val="00B63EF6"/>
    <w:rsid w:val="00B654BF"/>
    <w:rsid w:val="00B65D5A"/>
    <w:rsid w:val="00B71418"/>
    <w:rsid w:val="00B73917"/>
    <w:rsid w:val="00B745A9"/>
    <w:rsid w:val="00B74660"/>
    <w:rsid w:val="00B75384"/>
    <w:rsid w:val="00B754A3"/>
    <w:rsid w:val="00B76438"/>
    <w:rsid w:val="00B80EB0"/>
    <w:rsid w:val="00B81FAA"/>
    <w:rsid w:val="00B826B7"/>
    <w:rsid w:val="00B826C1"/>
    <w:rsid w:val="00B835AF"/>
    <w:rsid w:val="00B839B8"/>
    <w:rsid w:val="00B857A9"/>
    <w:rsid w:val="00B87011"/>
    <w:rsid w:val="00B87B8C"/>
    <w:rsid w:val="00B910FB"/>
    <w:rsid w:val="00B91209"/>
    <w:rsid w:val="00B929ED"/>
    <w:rsid w:val="00B92E74"/>
    <w:rsid w:val="00B95B91"/>
    <w:rsid w:val="00B96104"/>
    <w:rsid w:val="00B96150"/>
    <w:rsid w:val="00B973A6"/>
    <w:rsid w:val="00BA1147"/>
    <w:rsid w:val="00BA277F"/>
    <w:rsid w:val="00BA3579"/>
    <w:rsid w:val="00BA50D1"/>
    <w:rsid w:val="00BA5D49"/>
    <w:rsid w:val="00BA6455"/>
    <w:rsid w:val="00BA6EF7"/>
    <w:rsid w:val="00BB0380"/>
    <w:rsid w:val="00BB1053"/>
    <w:rsid w:val="00BB20D8"/>
    <w:rsid w:val="00BB2F83"/>
    <w:rsid w:val="00BB4914"/>
    <w:rsid w:val="00BB4A7E"/>
    <w:rsid w:val="00BB559A"/>
    <w:rsid w:val="00BB6A7F"/>
    <w:rsid w:val="00BB75B9"/>
    <w:rsid w:val="00BB75C7"/>
    <w:rsid w:val="00BB7608"/>
    <w:rsid w:val="00BB7C7C"/>
    <w:rsid w:val="00BC06A4"/>
    <w:rsid w:val="00BC2B9C"/>
    <w:rsid w:val="00BC4924"/>
    <w:rsid w:val="00BC4C7A"/>
    <w:rsid w:val="00BC4CCF"/>
    <w:rsid w:val="00BC54D1"/>
    <w:rsid w:val="00BC7414"/>
    <w:rsid w:val="00BD01BB"/>
    <w:rsid w:val="00BD0965"/>
    <w:rsid w:val="00BD1708"/>
    <w:rsid w:val="00BD1F4F"/>
    <w:rsid w:val="00BD54B7"/>
    <w:rsid w:val="00BD58A5"/>
    <w:rsid w:val="00BD59A2"/>
    <w:rsid w:val="00BD739D"/>
    <w:rsid w:val="00BD7782"/>
    <w:rsid w:val="00BD79BF"/>
    <w:rsid w:val="00BE125A"/>
    <w:rsid w:val="00BE2829"/>
    <w:rsid w:val="00BE3723"/>
    <w:rsid w:val="00BE4C2E"/>
    <w:rsid w:val="00BE5A95"/>
    <w:rsid w:val="00BF48B1"/>
    <w:rsid w:val="00BF4C0A"/>
    <w:rsid w:val="00BF5380"/>
    <w:rsid w:val="00BF54FB"/>
    <w:rsid w:val="00BF5D80"/>
    <w:rsid w:val="00BF5D8D"/>
    <w:rsid w:val="00BF74A4"/>
    <w:rsid w:val="00C00E5C"/>
    <w:rsid w:val="00C01FCC"/>
    <w:rsid w:val="00C04700"/>
    <w:rsid w:val="00C04C03"/>
    <w:rsid w:val="00C13680"/>
    <w:rsid w:val="00C14664"/>
    <w:rsid w:val="00C14D03"/>
    <w:rsid w:val="00C15035"/>
    <w:rsid w:val="00C16ED3"/>
    <w:rsid w:val="00C20F23"/>
    <w:rsid w:val="00C21165"/>
    <w:rsid w:val="00C2135B"/>
    <w:rsid w:val="00C21420"/>
    <w:rsid w:val="00C2220C"/>
    <w:rsid w:val="00C2277F"/>
    <w:rsid w:val="00C24DB6"/>
    <w:rsid w:val="00C24F19"/>
    <w:rsid w:val="00C25275"/>
    <w:rsid w:val="00C25BFB"/>
    <w:rsid w:val="00C265FA"/>
    <w:rsid w:val="00C26A65"/>
    <w:rsid w:val="00C2773C"/>
    <w:rsid w:val="00C27D9E"/>
    <w:rsid w:val="00C30686"/>
    <w:rsid w:val="00C31DB6"/>
    <w:rsid w:val="00C32701"/>
    <w:rsid w:val="00C34086"/>
    <w:rsid w:val="00C34798"/>
    <w:rsid w:val="00C35853"/>
    <w:rsid w:val="00C41047"/>
    <w:rsid w:val="00C41C8D"/>
    <w:rsid w:val="00C42A8D"/>
    <w:rsid w:val="00C43863"/>
    <w:rsid w:val="00C44B6F"/>
    <w:rsid w:val="00C467BF"/>
    <w:rsid w:val="00C50C8B"/>
    <w:rsid w:val="00C52106"/>
    <w:rsid w:val="00C52481"/>
    <w:rsid w:val="00C53266"/>
    <w:rsid w:val="00C55C21"/>
    <w:rsid w:val="00C60529"/>
    <w:rsid w:val="00C6061C"/>
    <w:rsid w:val="00C60A93"/>
    <w:rsid w:val="00C6129D"/>
    <w:rsid w:val="00C63DAE"/>
    <w:rsid w:val="00C640C8"/>
    <w:rsid w:val="00C64182"/>
    <w:rsid w:val="00C66E3F"/>
    <w:rsid w:val="00C66F34"/>
    <w:rsid w:val="00C671BE"/>
    <w:rsid w:val="00C73404"/>
    <w:rsid w:val="00C73D5D"/>
    <w:rsid w:val="00C73DA5"/>
    <w:rsid w:val="00C74183"/>
    <w:rsid w:val="00C74956"/>
    <w:rsid w:val="00C84A01"/>
    <w:rsid w:val="00C8656F"/>
    <w:rsid w:val="00C866C1"/>
    <w:rsid w:val="00C86EA8"/>
    <w:rsid w:val="00C90260"/>
    <w:rsid w:val="00C903C3"/>
    <w:rsid w:val="00C910C8"/>
    <w:rsid w:val="00C93D5F"/>
    <w:rsid w:val="00C947E5"/>
    <w:rsid w:val="00CA0164"/>
    <w:rsid w:val="00CA0930"/>
    <w:rsid w:val="00CA0FAF"/>
    <w:rsid w:val="00CA2288"/>
    <w:rsid w:val="00CA3D42"/>
    <w:rsid w:val="00CA5E5A"/>
    <w:rsid w:val="00CA6A36"/>
    <w:rsid w:val="00CA72B4"/>
    <w:rsid w:val="00CB0351"/>
    <w:rsid w:val="00CB5A18"/>
    <w:rsid w:val="00CB6C7D"/>
    <w:rsid w:val="00CB6F8D"/>
    <w:rsid w:val="00CB7A62"/>
    <w:rsid w:val="00CB7B82"/>
    <w:rsid w:val="00CC3511"/>
    <w:rsid w:val="00CC58F8"/>
    <w:rsid w:val="00CC5CF4"/>
    <w:rsid w:val="00CC750F"/>
    <w:rsid w:val="00CC7E81"/>
    <w:rsid w:val="00CD04AF"/>
    <w:rsid w:val="00CD1456"/>
    <w:rsid w:val="00CD3F30"/>
    <w:rsid w:val="00CD43BE"/>
    <w:rsid w:val="00CD6084"/>
    <w:rsid w:val="00CD653E"/>
    <w:rsid w:val="00CD6B9E"/>
    <w:rsid w:val="00CD7D77"/>
    <w:rsid w:val="00CE116B"/>
    <w:rsid w:val="00CE1C41"/>
    <w:rsid w:val="00CE4831"/>
    <w:rsid w:val="00CE48BE"/>
    <w:rsid w:val="00CF0AFF"/>
    <w:rsid w:val="00CF1778"/>
    <w:rsid w:val="00CF3115"/>
    <w:rsid w:val="00CF3BCA"/>
    <w:rsid w:val="00CF423D"/>
    <w:rsid w:val="00CF4548"/>
    <w:rsid w:val="00CF4B1D"/>
    <w:rsid w:val="00CF626D"/>
    <w:rsid w:val="00CF6992"/>
    <w:rsid w:val="00CF72E2"/>
    <w:rsid w:val="00CF7829"/>
    <w:rsid w:val="00D00E9A"/>
    <w:rsid w:val="00D01365"/>
    <w:rsid w:val="00D020C9"/>
    <w:rsid w:val="00D023E8"/>
    <w:rsid w:val="00D05726"/>
    <w:rsid w:val="00D072A6"/>
    <w:rsid w:val="00D1143F"/>
    <w:rsid w:val="00D11C61"/>
    <w:rsid w:val="00D12D0B"/>
    <w:rsid w:val="00D14EDC"/>
    <w:rsid w:val="00D1513E"/>
    <w:rsid w:val="00D15204"/>
    <w:rsid w:val="00D15A7B"/>
    <w:rsid w:val="00D200B3"/>
    <w:rsid w:val="00D20233"/>
    <w:rsid w:val="00D224D6"/>
    <w:rsid w:val="00D24F90"/>
    <w:rsid w:val="00D25B38"/>
    <w:rsid w:val="00D26A17"/>
    <w:rsid w:val="00D30FFC"/>
    <w:rsid w:val="00D318F3"/>
    <w:rsid w:val="00D31AE0"/>
    <w:rsid w:val="00D32E3B"/>
    <w:rsid w:val="00D3396A"/>
    <w:rsid w:val="00D35561"/>
    <w:rsid w:val="00D3773E"/>
    <w:rsid w:val="00D37C11"/>
    <w:rsid w:val="00D41BA8"/>
    <w:rsid w:val="00D42C0C"/>
    <w:rsid w:val="00D42DB2"/>
    <w:rsid w:val="00D44EF5"/>
    <w:rsid w:val="00D45084"/>
    <w:rsid w:val="00D45D15"/>
    <w:rsid w:val="00D46B6E"/>
    <w:rsid w:val="00D4719E"/>
    <w:rsid w:val="00D47F91"/>
    <w:rsid w:val="00D50703"/>
    <w:rsid w:val="00D50A2C"/>
    <w:rsid w:val="00D541E2"/>
    <w:rsid w:val="00D5455A"/>
    <w:rsid w:val="00D5576E"/>
    <w:rsid w:val="00D600BB"/>
    <w:rsid w:val="00D61275"/>
    <w:rsid w:val="00D624B7"/>
    <w:rsid w:val="00D6262D"/>
    <w:rsid w:val="00D63CC3"/>
    <w:rsid w:val="00D64022"/>
    <w:rsid w:val="00D648E0"/>
    <w:rsid w:val="00D64A1B"/>
    <w:rsid w:val="00D65569"/>
    <w:rsid w:val="00D67671"/>
    <w:rsid w:val="00D71C59"/>
    <w:rsid w:val="00D72B65"/>
    <w:rsid w:val="00D730E9"/>
    <w:rsid w:val="00D74348"/>
    <w:rsid w:val="00D74473"/>
    <w:rsid w:val="00D75623"/>
    <w:rsid w:val="00D800C7"/>
    <w:rsid w:val="00D80A9D"/>
    <w:rsid w:val="00D81D35"/>
    <w:rsid w:val="00D83305"/>
    <w:rsid w:val="00D84C25"/>
    <w:rsid w:val="00D85B7D"/>
    <w:rsid w:val="00D8691F"/>
    <w:rsid w:val="00D870BD"/>
    <w:rsid w:val="00D87E6C"/>
    <w:rsid w:val="00D91526"/>
    <w:rsid w:val="00D91C1B"/>
    <w:rsid w:val="00D943ED"/>
    <w:rsid w:val="00D95500"/>
    <w:rsid w:val="00D96002"/>
    <w:rsid w:val="00D96D6F"/>
    <w:rsid w:val="00DA2A1D"/>
    <w:rsid w:val="00DA3577"/>
    <w:rsid w:val="00DA4982"/>
    <w:rsid w:val="00DA5696"/>
    <w:rsid w:val="00DA5885"/>
    <w:rsid w:val="00DA654A"/>
    <w:rsid w:val="00DB1041"/>
    <w:rsid w:val="00DB286B"/>
    <w:rsid w:val="00DB335F"/>
    <w:rsid w:val="00DB4A39"/>
    <w:rsid w:val="00DB51D3"/>
    <w:rsid w:val="00DB5FFD"/>
    <w:rsid w:val="00DB79D5"/>
    <w:rsid w:val="00DC0BF7"/>
    <w:rsid w:val="00DC117A"/>
    <w:rsid w:val="00DC16B1"/>
    <w:rsid w:val="00DC2073"/>
    <w:rsid w:val="00DC2FA3"/>
    <w:rsid w:val="00DC378C"/>
    <w:rsid w:val="00DC402B"/>
    <w:rsid w:val="00DC402D"/>
    <w:rsid w:val="00DC5303"/>
    <w:rsid w:val="00DC64C6"/>
    <w:rsid w:val="00DC68E4"/>
    <w:rsid w:val="00DC6B9A"/>
    <w:rsid w:val="00DC71F3"/>
    <w:rsid w:val="00DC763F"/>
    <w:rsid w:val="00DC7A5E"/>
    <w:rsid w:val="00DD0175"/>
    <w:rsid w:val="00DD117D"/>
    <w:rsid w:val="00DD18DD"/>
    <w:rsid w:val="00DD1A71"/>
    <w:rsid w:val="00DD1BFA"/>
    <w:rsid w:val="00DD1CA0"/>
    <w:rsid w:val="00DD3B72"/>
    <w:rsid w:val="00DD3F45"/>
    <w:rsid w:val="00DD4C05"/>
    <w:rsid w:val="00DD4DDE"/>
    <w:rsid w:val="00DD51AA"/>
    <w:rsid w:val="00DD6FDB"/>
    <w:rsid w:val="00DE0A22"/>
    <w:rsid w:val="00DE10CC"/>
    <w:rsid w:val="00DE55F1"/>
    <w:rsid w:val="00DE7DDD"/>
    <w:rsid w:val="00DF0178"/>
    <w:rsid w:val="00DF021F"/>
    <w:rsid w:val="00DF0504"/>
    <w:rsid w:val="00DF0541"/>
    <w:rsid w:val="00DF132B"/>
    <w:rsid w:val="00DF152D"/>
    <w:rsid w:val="00DF2C76"/>
    <w:rsid w:val="00DF3C88"/>
    <w:rsid w:val="00DF3CB0"/>
    <w:rsid w:val="00DF40FE"/>
    <w:rsid w:val="00DF633D"/>
    <w:rsid w:val="00DF7348"/>
    <w:rsid w:val="00E00321"/>
    <w:rsid w:val="00E0217E"/>
    <w:rsid w:val="00E03627"/>
    <w:rsid w:val="00E039B6"/>
    <w:rsid w:val="00E03DA7"/>
    <w:rsid w:val="00E067CF"/>
    <w:rsid w:val="00E06CA8"/>
    <w:rsid w:val="00E07DCD"/>
    <w:rsid w:val="00E11324"/>
    <w:rsid w:val="00E11ACF"/>
    <w:rsid w:val="00E124BC"/>
    <w:rsid w:val="00E127ED"/>
    <w:rsid w:val="00E12875"/>
    <w:rsid w:val="00E131EE"/>
    <w:rsid w:val="00E13991"/>
    <w:rsid w:val="00E1690F"/>
    <w:rsid w:val="00E222B9"/>
    <w:rsid w:val="00E23F0D"/>
    <w:rsid w:val="00E24B96"/>
    <w:rsid w:val="00E2584C"/>
    <w:rsid w:val="00E268EF"/>
    <w:rsid w:val="00E302F4"/>
    <w:rsid w:val="00E30F5F"/>
    <w:rsid w:val="00E3121C"/>
    <w:rsid w:val="00E3122F"/>
    <w:rsid w:val="00E3264A"/>
    <w:rsid w:val="00E326F5"/>
    <w:rsid w:val="00E334C4"/>
    <w:rsid w:val="00E3596F"/>
    <w:rsid w:val="00E37839"/>
    <w:rsid w:val="00E4316C"/>
    <w:rsid w:val="00E452EF"/>
    <w:rsid w:val="00E46053"/>
    <w:rsid w:val="00E46FCE"/>
    <w:rsid w:val="00E47699"/>
    <w:rsid w:val="00E47CA8"/>
    <w:rsid w:val="00E50A2E"/>
    <w:rsid w:val="00E50F2D"/>
    <w:rsid w:val="00E51327"/>
    <w:rsid w:val="00E51763"/>
    <w:rsid w:val="00E52576"/>
    <w:rsid w:val="00E52661"/>
    <w:rsid w:val="00E5398A"/>
    <w:rsid w:val="00E53ED7"/>
    <w:rsid w:val="00E55492"/>
    <w:rsid w:val="00E55F22"/>
    <w:rsid w:val="00E566D3"/>
    <w:rsid w:val="00E56814"/>
    <w:rsid w:val="00E574D8"/>
    <w:rsid w:val="00E57861"/>
    <w:rsid w:val="00E60880"/>
    <w:rsid w:val="00E61023"/>
    <w:rsid w:val="00E61A45"/>
    <w:rsid w:val="00E63B91"/>
    <w:rsid w:val="00E6426B"/>
    <w:rsid w:val="00E648B8"/>
    <w:rsid w:val="00E65516"/>
    <w:rsid w:val="00E65747"/>
    <w:rsid w:val="00E66284"/>
    <w:rsid w:val="00E664FB"/>
    <w:rsid w:val="00E66A43"/>
    <w:rsid w:val="00E673EF"/>
    <w:rsid w:val="00E67883"/>
    <w:rsid w:val="00E67990"/>
    <w:rsid w:val="00E715F9"/>
    <w:rsid w:val="00E71CA7"/>
    <w:rsid w:val="00E72C7B"/>
    <w:rsid w:val="00E72EC9"/>
    <w:rsid w:val="00E74412"/>
    <w:rsid w:val="00E771F9"/>
    <w:rsid w:val="00E774B9"/>
    <w:rsid w:val="00E77528"/>
    <w:rsid w:val="00E81ED0"/>
    <w:rsid w:val="00E82F8D"/>
    <w:rsid w:val="00E848FE"/>
    <w:rsid w:val="00E84EE7"/>
    <w:rsid w:val="00E84F36"/>
    <w:rsid w:val="00E85C78"/>
    <w:rsid w:val="00E86E82"/>
    <w:rsid w:val="00E90E40"/>
    <w:rsid w:val="00E93126"/>
    <w:rsid w:val="00E93AD0"/>
    <w:rsid w:val="00E94950"/>
    <w:rsid w:val="00E95CF9"/>
    <w:rsid w:val="00E95D29"/>
    <w:rsid w:val="00E97E97"/>
    <w:rsid w:val="00EA0BBA"/>
    <w:rsid w:val="00EA0D0A"/>
    <w:rsid w:val="00EA0FF3"/>
    <w:rsid w:val="00EA743C"/>
    <w:rsid w:val="00EA7837"/>
    <w:rsid w:val="00EA7C10"/>
    <w:rsid w:val="00EA7E60"/>
    <w:rsid w:val="00EB08C0"/>
    <w:rsid w:val="00EB138D"/>
    <w:rsid w:val="00EB352B"/>
    <w:rsid w:val="00EB3D78"/>
    <w:rsid w:val="00EB5FCB"/>
    <w:rsid w:val="00EC01AA"/>
    <w:rsid w:val="00EC0623"/>
    <w:rsid w:val="00EC19C5"/>
    <w:rsid w:val="00EC3BAB"/>
    <w:rsid w:val="00EC4CD5"/>
    <w:rsid w:val="00EC5FF4"/>
    <w:rsid w:val="00EC778F"/>
    <w:rsid w:val="00ED0B7B"/>
    <w:rsid w:val="00ED2F6C"/>
    <w:rsid w:val="00ED46CB"/>
    <w:rsid w:val="00ED52A9"/>
    <w:rsid w:val="00ED5E54"/>
    <w:rsid w:val="00EE0D1C"/>
    <w:rsid w:val="00EE25E2"/>
    <w:rsid w:val="00EE28EA"/>
    <w:rsid w:val="00EE40EE"/>
    <w:rsid w:val="00EE6D5B"/>
    <w:rsid w:val="00EE78ED"/>
    <w:rsid w:val="00EF0742"/>
    <w:rsid w:val="00EF1674"/>
    <w:rsid w:val="00EF187B"/>
    <w:rsid w:val="00EF1D3F"/>
    <w:rsid w:val="00EF37BF"/>
    <w:rsid w:val="00EF4757"/>
    <w:rsid w:val="00EF5122"/>
    <w:rsid w:val="00EF5A2F"/>
    <w:rsid w:val="00EF6B59"/>
    <w:rsid w:val="00EF6BC3"/>
    <w:rsid w:val="00EF7DD0"/>
    <w:rsid w:val="00F029C8"/>
    <w:rsid w:val="00F0456F"/>
    <w:rsid w:val="00F053AB"/>
    <w:rsid w:val="00F05D19"/>
    <w:rsid w:val="00F0716E"/>
    <w:rsid w:val="00F10501"/>
    <w:rsid w:val="00F12857"/>
    <w:rsid w:val="00F137F8"/>
    <w:rsid w:val="00F149F5"/>
    <w:rsid w:val="00F15993"/>
    <w:rsid w:val="00F15BC3"/>
    <w:rsid w:val="00F161FD"/>
    <w:rsid w:val="00F17248"/>
    <w:rsid w:val="00F17A18"/>
    <w:rsid w:val="00F213BB"/>
    <w:rsid w:val="00F2282C"/>
    <w:rsid w:val="00F22AB4"/>
    <w:rsid w:val="00F2379C"/>
    <w:rsid w:val="00F2568E"/>
    <w:rsid w:val="00F26314"/>
    <w:rsid w:val="00F27502"/>
    <w:rsid w:val="00F308A1"/>
    <w:rsid w:val="00F3162B"/>
    <w:rsid w:val="00F31920"/>
    <w:rsid w:val="00F3374E"/>
    <w:rsid w:val="00F346DB"/>
    <w:rsid w:val="00F34C0D"/>
    <w:rsid w:val="00F36878"/>
    <w:rsid w:val="00F3732D"/>
    <w:rsid w:val="00F375AB"/>
    <w:rsid w:val="00F3768D"/>
    <w:rsid w:val="00F40534"/>
    <w:rsid w:val="00F4230F"/>
    <w:rsid w:val="00F426BB"/>
    <w:rsid w:val="00F441FF"/>
    <w:rsid w:val="00F448CE"/>
    <w:rsid w:val="00F450F8"/>
    <w:rsid w:val="00F45546"/>
    <w:rsid w:val="00F45630"/>
    <w:rsid w:val="00F4577D"/>
    <w:rsid w:val="00F45E0F"/>
    <w:rsid w:val="00F461FE"/>
    <w:rsid w:val="00F4632E"/>
    <w:rsid w:val="00F4679C"/>
    <w:rsid w:val="00F46D3C"/>
    <w:rsid w:val="00F4773F"/>
    <w:rsid w:val="00F47F7C"/>
    <w:rsid w:val="00F50340"/>
    <w:rsid w:val="00F51068"/>
    <w:rsid w:val="00F51CB1"/>
    <w:rsid w:val="00F5294D"/>
    <w:rsid w:val="00F53CA3"/>
    <w:rsid w:val="00F559DE"/>
    <w:rsid w:val="00F60107"/>
    <w:rsid w:val="00F6224F"/>
    <w:rsid w:val="00F62937"/>
    <w:rsid w:val="00F630D2"/>
    <w:rsid w:val="00F63926"/>
    <w:rsid w:val="00F63AC8"/>
    <w:rsid w:val="00F65FBA"/>
    <w:rsid w:val="00F67828"/>
    <w:rsid w:val="00F70174"/>
    <w:rsid w:val="00F70431"/>
    <w:rsid w:val="00F70458"/>
    <w:rsid w:val="00F74C21"/>
    <w:rsid w:val="00F754AF"/>
    <w:rsid w:val="00F76259"/>
    <w:rsid w:val="00F76EF5"/>
    <w:rsid w:val="00F77C1B"/>
    <w:rsid w:val="00F808DE"/>
    <w:rsid w:val="00F81C97"/>
    <w:rsid w:val="00F841D6"/>
    <w:rsid w:val="00F848DC"/>
    <w:rsid w:val="00F84E2E"/>
    <w:rsid w:val="00F85068"/>
    <w:rsid w:val="00F851C5"/>
    <w:rsid w:val="00F8528F"/>
    <w:rsid w:val="00F85C7F"/>
    <w:rsid w:val="00F86C95"/>
    <w:rsid w:val="00F87EAA"/>
    <w:rsid w:val="00F9434B"/>
    <w:rsid w:val="00F94C24"/>
    <w:rsid w:val="00F962B9"/>
    <w:rsid w:val="00FA275B"/>
    <w:rsid w:val="00FA32BA"/>
    <w:rsid w:val="00FA4148"/>
    <w:rsid w:val="00FA55E5"/>
    <w:rsid w:val="00FA69A2"/>
    <w:rsid w:val="00FA6E56"/>
    <w:rsid w:val="00FB04C7"/>
    <w:rsid w:val="00FB0FFD"/>
    <w:rsid w:val="00FB237A"/>
    <w:rsid w:val="00FB27BF"/>
    <w:rsid w:val="00FB3C88"/>
    <w:rsid w:val="00FB3EE0"/>
    <w:rsid w:val="00FB7687"/>
    <w:rsid w:val="00FC0C22"/>
    <w:rsid w:val="00FC1086"/>
    <w:rsid w:val="00FC1B18"/>
    <w:rsid w:val="00FC4D80"/>
    <w:rsid w:val="00FD2999"/>
    <w:rsid w:val="00FD32A0"/>
    <w:rsid w:val="00FD36B3"/>
    <w:rsid w:val="00FD3812"/>
    <w:rsid w:val="00FD5646"/>
    <w:rsid w:val="00FD57BD"/>
    <w:rsid w:val="00FE0988"/>
    <w:rsid w:val="00FE21E9"/>
    <w:rsid w:val="00FE3072"/>
    <w:rsid w:val="00FE5615"/>
    <w:rsid w:val="00FE5BC5"/>
    <w:rsid w:val="00FE601C"/>
    <w:rsid w:val="00FE77DA"/>
    <w:rsid w:val="00FF11F0"/>
    <w:rsid w:val="00FF2039"/>
    <w:rsid w:val="00FF28F9"/>
    <w:rsid w:val="00FF40A2"/>
    <w:rsid w:val="00FF5A2D"/>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52B4-0C43-4D19-869A-A8F449B4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27A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2427A2"/>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5E0850"/>
    <w:pPr>
      <w:ind w:left="720"/>
      <w:contextualSpacing/>
    </w:pPr>
  </w:style>
  <w:style w:type="paragraph" w:styleId="BalloonText">
    <w:name w:val="Balloon Text"/>
    <w:basedOn w:val="Normal"/>
    <w:link w:val="BalloonTextChar"/>
    <w:uiPriority w:val="99"/>
    <w:semiHidden/>
    <w:unhideWhenUsed/>
    <w:rsid w:val="00C01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FCC"/>
    <w:rPr>
      <w:rFonts w:ascii="Segoe UI" w:eastAsia="Times New Roman" w:hAnsi="Segoe UI" w:cs="Segoe UI"/>
      <w:sz w:val="18"/>
      <w:szCs w:val="18"/>
    </w:rPr>
  </w:style>
  <w:style w:type="table" w:styleId="TableGrid">
    <w:name w:val="Table Grid"/>
    <w:basedOn w:val="TableNormal"/>
    <w:uiPriority w:val="39"/>
    <w:rsid w:val="00F4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459"/>
    <w:pPr>
      <w:tabs>
        <w:tab w:val="center" w:pos="4513"/>
        <w:tab w:val="right" w:pos="9026"/>
      </w:tabs>
    </w:pPr>
  </w:style>
  <w:style w:type="character" w:customStyle="1" w:styleId="HeaderChar">
    <w:name w:val="Header Char"/>
    <w:basedOn w:val="DefaultParagraphFont"/>
    <w:link w:val="Header"/>
    <w:uiPriority w:val="99"/>
    <w:rsid w:val="00B154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459"/>
    <w:pPr>
      <w:tabs>
        <w:tab w:val="center" w:pos="4513"/>
        <w:tab w:val="right" w:pos="9026"/>
      </w:tabs>
    </w:pPr>
  </w:style>
  <w:style w:type="character" w:customStyle="1" w:styleId="FooterChar">
    <w:name w:val="Footer Char"/>
    <w:basedOn w:val="DefaultParagraphFont"/>
    <w:link w:val="Footer"/>
    <w:uiPriority w:val="99"/>
    <w:rsid w:val="00B15459"/>
    <w:rPr>
      <w:rFonts w:ascii="Times New Roman" w:eastAsia="Times New Roman" w:hAnsi="Times New Roman" w:cs="Times New Roman"/>
      <w:sz w:val="24"/>
      <w:szCs w:val="24"/>
    </w:rPr>
  </w:style>
  <w:style w:type="paragraph" w:customStyle="1" w:styleId="Default">
    <w:name w:val="Default"/>
    <w:rsid w:val="00D74473"/>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673B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amp;esrc=s&amp;frm=1&amp;source=images&amp;cd=&amp;cad=rja&amp;uact=8&amp;ved=0CAcQjRxqFQoTCNmT0vij5ccCFcwPGgodLVUCYg&amp;url=http://www.craftyjenny.com/free-clip-art-download-spanner.html&amp;psig=AFQjCNGkEojdpPH2dtxlNAvLzIDb6qMBVA&amp;ust=1441727478193837" TargetMode="External"/><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uact=8&amp;ved=0CAcQjRxqFQoTCI6Rgd-r5ccCFcM4GgodR3UN0w&amp;url=http://www.clipartsheep.com/house-building-animated-clipart/dT1hSFIwY0RvdkwzZDNkeTVqYTNOcGJtWnZMbU52YlM5amJHbHdZWEowTDJKMWFXeGthVzVuY3k5b2IyMWxjMkZ1WkdodmRYTmxjeTlpYVdjdGFHOTFjMlV0TURFdWNHNW58dz0zMDB8aD01MDh8dD1wbmd8/&amp;psig=AFQjCNGPFrZ12TKh3JElIGT0KgSNxELDcw&amp;ust=14417296838312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Gore</dc:creator>
  <cp:keywords/>
  <dc:description/>
  <cp:lastModifiedBy>Tracey Gore</cp:lastModifiedBy>
  <cp:revision>2</cp:revision>
  <cp:lastPrinted>2018-09-17T13:31:00Z</cp:lastPrinted>
  <dcterms:created xsi:type="dcterms:W3CDTF">2018-09-28T08:07:00Z</dcterms:created>
  <dcterms:modified xsi:type="dcterms:W3CDTF">2018-09-28T08:07:00Z</dcterms:modified>
</cp:coreProperties>
</file>