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6" w:rsidRDefault="008049AE" w:rsidP="003F2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Steve Biko Housing Association - </w:t>
      </w:r>
      <w:r w:rsidR="003F2CC6" w:rsidRPr="003F2CC6">
        <w:rPr>
          <w:rFonts w:ascii="Arial" w:hAnsi="Arial" w:cs="Arial"/>
          <w:b/>
        </w:rPr>
        <w:t xml:space="preserve">Value for Money </w:t>
      </w:r>
      <w:r>
        <w:rPr>
          <w:rFonts w:ascii="Arial" w:hAnsi="Arial" w:cs="Arial"/>
          <w:b/>
        </w:rPr>
        <w:t>Statement 201</w:t>
      </w:r>
      <w:r w:rsidR="0007460C">
        <w:rPr>
          <w:rFonts w:ascii="Arial" w:hAnsi="Arial" w:cs="Arial"/>
          <w:b/>
        </w:rPr>
        <w:t>7</w:t>
      </w:r>
    </w:p>
    <w:p w:rsidR="0074486E" w:rsidRDefault="0074486E" w:rsidP="003F2CC6">
      <w:pPr>
        <w:rPr>
          <w:rFonts w:ascii="Arial" w:hAnsi="Arial" w:cs="Arial"/>
          <w:b/>
        </w:rPr>
      </w:pPr>
    </w:p>
    <w:p w:rsidR="00906E2E" w:rsidRDefault="00906E2E" w:rsidP="002E46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We Are</w:t>
      </w:r>
    </w:p>
    <w:p w:rsidR="00906E2E" w:rsidRPr="00906E2E" w:rsidRDefault="00906E2E" w:rsidP="002E46A2">
      <w:pPr>
        <w:rPr>
          <w:rFonts w:ascii="Arial" w:hAnsi="Arial" w:cs="Arial"/>
          <w:b/>
        </w:rPr>
      </w:pPr>
      <w:bookmarkStart w:id="0" w:name="_GoBack"/>
      <w:bookmarkEnd w:id="0"/>
    </w:p>
    <w:p w:rsidR="002E46A2" w:rsidRDefault="0074486E" w:rsidP="002E46A2">
      <w:pPr>
        <w:rPr>
          <w:rFonts w:ascii="Arial" w:hAnsi="Arial" w:cs="Arial"/>
        </w:rPr>
      </w:pPr>
      <w:r w:rsidRPr="002E46A2">
        <w:rPr>
          <w:rFonts w:ascii="Arial" w:hAnsi="Arial" w:cs="Arial"/>
        </w:rPr>
        <w:t>Steve Biko Housing Association (SBHA</w:t>
      </w:r>
      <w:r w:rsidR="00E02381">
        <w:rPr>
          <w:rFonts w:ascii="Arial" w:hAnsi="Arial" w:cs="Arial"/>
        </w:rPr>
        <w:t>)</w:t>
      </w:r>
      <w:r w:rsidRPr="002E46A2">
        <w:rPr>
          <w:rFonts w:ascii="Arial" w:hAnsi="Arial" w:cs="Arial"/>
        </w:rPr>
        <w:t xml:space="preserve"> was formed by Liverpool</w:t>
      </w:r>
      <w:r w:rsidR="002E46A2">
        <w:rPr>
          <w:rFonts w:ascii="Arial" w:hAnsi="Arial" w:cs="Arial"/>
        </w:rPr>
        <w:t>’</w:t>
      </w:r>
      <w:r w:rsidR="009E122B">
        <w:rPr>
          <w:rFonts w:ascii="Arial" w:hAnsi="Arial" w:cs="Arial"/>
        </w:rPr>
        <w:t>s Black and Racial Minority (BRM)</w:t>
      </w:r>
      <w:r w:rsidRPr="002E46A2">
        <w:rPr>
          <w:rFonts w:ascii="Arial" w:hAnsi="Arial" w:cs="Arial"/>
        </w:rPr>
        <w:t xml:space="preserve"> community as a direct result of race discrimination in Liverpool’s social housing allocations policy.  Registered under the </w:t>
      </w:r>
      <w:r w:rsidR="009E122B">
        <w:rPr>
          <w:rFonts w:ascii="Arial" w:hAnsi="Arial" w:cs="Arial"/>
        </w:rPr>
        <w:t xml:space="preserve">regulators </w:t>
      </w:r>
      <w:r w:rsidRPr="002E46A2">
        <w:rPr>
          <w:rFonts w:ascii="Arial" w:hAnsi="Arial" w:cs="Arial"/>
        </w:rPr>
        <w:t>B</w:t>
      </w:r>
      <w:r w:rsidR="009E122B">
        <w:rPr>
          <w:rFonts w:ascii="Arial" w:hAnsi="Arial" w:cs="Arial"/>
        </w:rPr>
        <w:t xml:space="preserve">lack </w:t>
      </w:r>
      <w:r w:rsidRPr="002E46A2">
        <w:rPr>
          <w:rFonts w:ascii="Arial" w:hAnsi="Arial" w:cs="Arial"/>
        </w:rPr>
        <w:t>M</w:t>
      </w:r>
      <w:r w:rsidR="009E122B">
        <w:rPr>
          <w:rFonts w:ascii="Arial" w:hAnsi="Arial" w:cs="Arial"/>
        </w:rPr>
        <w:t xml:space="preserve">inority </w:t>
      </w:r>
      <w:r w:rsidRPr="002E46A2">
        <w:rPr>
          <w:rFonts w:ascii="Arial" w:hAnsi="Arial" w:cs="Arial"/>
        </w:rPr>
        <w:t>E</w:t>
      </w:r>
      <w:r w:rsidR="009E122B">
        <w:rPr>
          <w:rFonts w:ascii="Arial" w:hAnsi="Arial" w:cs="Arial"/>
        </w:rPr>
        <w:t>thnic (BME)</w:t>
      </w:r>
      <w:r w:rsidRPr="002E46A2">
        <w:rPr>
          <w:rFonts w:ascii="Arial" w:hAnsi="Arial" w:cs="Arial"/>
        </w:rPr>
        <w:t xml:space="preserve"> strategy to provide quality homes for those in need.  </w:t>
      </w:r>
    </w:p>
    <w:p w:rsidR="002E46A2" w:rsidRDefault="002E46A2" w:rsidP="002E46A2">
      <w:pPr>
        <w:rPr>
          <w:rFonts w:ascii="Arial" w:hAnsi="Arial" w:cs="Arial"/>
        </w:rPr>
      </w:pPr>
    </w:p>
    <w:p w:rsidR="002E46A2" w:rsidRDefault="002E46A2" w:rsidP="002E46A2">
      <w:pPr>
        <w:rPr>
          <w:rFonts w:ascii="Arial" w:hAnsi="Arial" w:cs="Arial"/>
        </w:rPr>
      </w:pPr>
      <w:r>
        <w:rPr>
          <w:rFonts w:ascii="Arial" w:hAnsi="Arial" w:cs="Arial"/>
        </w:rPr>
        <w:t>Our Vision:</w:t>
      </w:r>
      <w:r w:rsidRPr="002E46A2">
        <w:rPr>
          <w:rFonts w:ascii="Arial" w:hAnsi="Arial" w:cs="Arial"/>
        </w:rPr>
        <w:t xml:space="preserve">  “Homes and Communities without Racism”</w:t>
      </w:r>
      <w:r>
        <w:rPr>
          <w:rFonts w:ascii="Arial" w:hAnsi="Arial" w:cs="Arial"/>
        </w:rPr>
        <w:t xml:space="preserve"> a</w:t>
      </w:r>
      <w:r w:rsidRPr="002E46A2">
        <w:rPr>
          <w:rFonts w:ascii="Arial" w:hAnsi="Arial" w:cs="Arial"/>
        </w:rPr>
        <w:t>nd our Mission is: “</w:t>
      </w:r>
      <w:r>
        <w:rPr>
          <w:rFonts w:ascii="Arial" w:hAnsi="Arial" w:cs="Arial"/>
        </w:rPr>
        <w:t>W</w:t>
      </w:r>
      <w:r w:rsidRPr="002E46A2">
        <w:rPr>
          <w:rFonts w:ascii="Arial" w:hAnsi="Arial" w:cs="Arial"/>
        </w:rPr>
        <w:t>e will provide housing and related services that are responsive to the needs of B</w:t>
      </w:r>
      <w:r w:rsidR="009E122B">
        <w:rPr>
          <w:rFonts w:ascii="Arial" w:hAnsi="Arial" w:cs="Arial"/>
        </w:rPr>
        <w:t>RM</w:t>
      </w:r>
      <w:r w:rsidRPr="002E46A2">
        <w:rPr>
          <w:rFonts w:ascii="Arial" w:hAnsi="Arial" w:cs="Arial"/>
        </w:rPr>
        <w:t xml:space="preserve"> communities and we will enable tenants and local communities to influence decisions that affect their lives.  We will do this in a way that influences and challenge social and economic structures that contribute to or entrench discrimination and disadvantage by putting racial equality at the heart of our work.”</w:t>
      </w:r>
    </w:p>
    <w:p w:rsidR="0084733B" w:rsidRDefault="0084733B" w:rsidP="002E46A2">
      <w:pPr>
        <w:rPr>
          <w:rFonts w:ascii="Arial" w:hAnsi="Arial" w:cs="Arial"/>
        </w:rPr>
      </w:pPr>
      <w:r>
        <w:rPr>
          <w:rFonts w:ascii="Arial" w:hAnsi="Arial" w:cs="Arial"/>
        </w:rPr>
        <w:t>Our Objectives:</w:t>
      </w:r>
    </w:p>
    <w:p w:rsidR="00A623D2" w:rsidRDefault="00A623D2" w:rsidP="002E46A2">
      <w:pPr>
        <w:rPr>
          <w:rFonts w:ascii="Arial" w:hAnsi="Arial" w:cs="Arial"/>
        </w:rPr>
      </w:pPr>
    </w:p>
    <w:p w:rsidR="0084733B" w:rsidRPr="0084733B" w:rsidRDefault="0084733B" w:rsidP="008473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733B">
        <w:rPr>
          <w:rFonts w:ascii="Arial" w:hAnsi="Arial" w:cs="Arial"/>
        </w:rPr>
        <w:t>Quality Service to Tenants</w:t>
      </w:r>
    </w:p>
    <w:p w:rsidR="0084733B" w:rsidRDefault="0084733B" w:rsidP="008473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733B">
        <w:rPr>
          <w:rFonts w:ascii="Arial" w:hAnsi="Arial" w:cs="Arial"/>
        </w:rPr>
        <w:t>Governance</w:t>
      </w:r>
    </w:p>
    <w:p w:rsidR="0084733B" w:rsidRDefault="0084733B" w:rsidP="008473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Quality Organisation</w:t>
      </w:r>
    </w:p>
    <w:p w:rsidR="0084733B" w:rsidRDefault="0084733B" w:rsidP="008473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Promoting Equality</w:t>
      </w:r>
    </w:p>
    <w:p w:rsidR="0084733B" w:rsidRPr="0084733B" w:rsidRDefault="0084733B" w:rsidP="008473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 Empowerment</w:t>
      </w:r>
    </w:p>
    <w:p w:rsidR="0084733B" w:rsidRPr="002E46A2" w:rsidRDefault="0084733B" w:rsidP="002E46A2">
      <w:pPr>
        <w:rPr>
          <w:rFonts w:ascii="Arial" w:hAnsi="Arial" w:cs="Arial"/>
        </w:rPr>
      </w:pPr>
    </w:p>
    <w:p w:rsidR="002E46A2" w:rsidRPr="002E46A2" w:rsidRDefault="0084733B" w:rsidP="002E46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Vision, </w:t>
      </w:r>
      <w:r w:rsidR="002E46A2">
        <w:rPr>
          <w:rFonts w:ascii="Arial" w:hAnsi="Arial" w:cs="Arial"/>
        </w:rPr>
        <w:t xml:space="preserve">Mission </w:t>
      </w:r>
      <w:r>
        <w:rPr>
          <w:rFonts w:ascii="Arial" w:hAnsi="Arial" w:cs="Arial"/>
        </w:rPr>
        <w:t xml:space="preserve">and objectives </w:t>
      </w:r>
      <w:r w:rsidR="002E46A2">
        <w:rPr>
          <w:rFonts w:ascii="Arial" w:hAnsi="Arial" w:cs="Arial"/>
        </w:rPr>
        <w:t xml:space="preserve">were reviewed and confirmed by Board in October 2015 and </w:t>
      </w:r>
      <w:r w:rsidR="00713E17">
        <w:rPr>
          <w:rFonts w:ascii="Arial" w:hAnsi="Arial" w:cs="Arial"/>
        </w:rPr>
        <w:t>continues to set</w:t>
      </w:r>
      <w:r w:rsidR="002E46A2">
        <w:rPr>
          <w:rFonts w:ascii="Arial" w:hAnsi="Arial" w:cs="Arial"/>
        </w:rPr>
        <w:t xml:space="preserve"> the foundations for all of the work that SBHA undertakes.  </w:t>
      </w:r>
    </w:p>
    <w:p w:rsidR="002E46A2" w:rsidRPr="002E46A2" w:rsidRDefault="002E46A2" w:rsidP="003F2CC6">
      <w:pPr>
        <w:rPr>
          <w:rFonts w:ascii="Arial" w:hAnsi="Arial" w:cs="Arial"/>
        </w:rPr>
      </w:pPr>
    </w:p>
    <w:p w:rsidR="00234E61" w:rsidRDefault="003F2CC6" w:rsidP="003F2CC6">
      <w:pPr>
        <w:rPr>
          <w:rFonts w:ascii="Arial" w:hAnsi="Arial" w:cs="Arial"/>
        </w:rPr>
      </w:pPr>
      <w:r w:rsidRPr="003F2CC6">
        <w:rPr>
          <w:rFonts w:ascii="Arial" w:hAnsi="Arial" w:cs="Arial"/>
        </w:rPr>
        <w:t xml:space="preserve">In line with the Home and Communities Agency’s </w:t>
      </w:r>
      <w:r w:rsidR="008049AE">
        <w:rPr>
          <w:rFonts w:ascii="Arial" w:hAnsi="Arial" w:cs="Arial"/>
        </w:rPr>
        <w:t xml:space="preserve">Value for Money </w:t>
      </w:r>
      <w:r w:rsidRPr="003F2CC6">
        <w:rPr>
          <w:rFonts w:ascii="Arial" w:hAnsi="Arial" w:cs="Arial"/>
        </w:rPr>
        <w:t>Standard</w:t>
      </w:r>
      <w:r w:rsidR="008049AE">
        <w:rPr>
          <w:rFonts w:ascii="Arial" w:hAnsi="Arial" w:cs="Arial"/>
        </w:rPr>
        <w:t xml:space="preserve">, SBHA’s </w:t>
      </w:r>
      <w:r w:rsidRPr="003F2CC6">
        <w:rPr>
          <w:rFonts w:ascii="Arial" w:hAnsi="Arial" w:cs="Arial"/>
        </w:rPr>
        <w:t>Financial Regulations and</w:t>
      </w:r>
      <w:r w:rsidR="008049AE">
        <w:rPr>
          <w:rFonts w:ascii="Arial" w:hAnsi="Arial" w:cs="Arial"/>
        </w:rPr>
        <w:t xml:space="preserve"> Value for Money Strategy</w:t>
      </w:r>
      <w:r w:rsidRPr="003F2CC6">
        <w:rPr>
          <w:rFonts w:ascii="Arial" w:hAnsi="Arial" w:cs="Arial"/>
        </w:rPr>
        <w:t>,</w:t>
      </w:r>
      <w:r w:rsidR="008049AE">
        <w:rPr>
          <w:rFonts w:ascii="Arial" w:hAnsi="Arial" w:cs="Arial"/>
        </w:rPr>
        <w:t xml:space="preserve"> SBHA</w:t>
      </w:r>
      <w:r w:rsidRPr="003F2CC6">
        <w:rPr>
          <w:rFonts w:ascii="Arial" w:hAnsi="Arial" w:cs="Arial"/>
        </w:rPr>
        <w:t xml:space="preserve"> seeks to achieve value for money on all </w:t>
      </w:r>
      <w:r w:rsidR="008049AE">
        <w:rPr>
          <w:rFonts w:ascii="Arial" w:hAnsi="Arial" w:cs="Arial"/>
        </w:rPr>
        <w:t xml:space="preserve">activities and </w:t>
      </w:r>
      <w:r w:rsidRPr="003F2CC6">
        <w:rPr>
          <w:rFonts w:ascii="Arial" w:hAnsi="Arial" w:cs="Arial"/>
        </w:rPr>
        <w:t xml:space="preserve">expenditure and ensure rental income is maximised and collected in an efficient and timely manner.       </w:t>
      </w:r>
    </w:p>
    <w:p w:rsidR="00234E61" w:rsidRDefault="00234E61" w:rsidP="003F2CC6">
      <w:pPr>
        <w:rPr>
          <w:rFonts w:ascii="Arial" w:hAnsi="Arial" w:cs="Arial"/>
        </w:rPr>
      </w:pPr>
    </w:p>
    <w:p w:rsidR="006D09C8" w:rsidRDefault="006D09C8" w:rsidP="003F2CC6">
      <w:pPr>
        <w:rPr>
          <w:rFonts w:ascii="Arial" w:hAnsi="Arial" w:cs="Arial"/>
        </w:rPr>
      </w:pPr>
      <w:r>
        <w:rPr>
          <w:rFonts w:ascii="Arial" w:hAnsi="Arial" w:cs="Arial"/>
        </w:rPr>
        <w:t>The Association fully understands that we have a duty to ensure value for money for our activities and that our income, our tenants rent is used wisely.</w:t>
      </w:r>
    </w:p>
    <w:p w:rsidR="006D09C8" w:rsidRDefault="006D09C8" w:rsidP="003F2CC6">
      <w:pPr>
        <w:rPr>
          <w:rFonts w:ascii="Arial" w:hAnsi="Arial" w:cs="Arial"/>
        </w:rPr>
      </w:pPr>
    </w:p>
    <w:p w:rsidR="00906E2E" w:rsidRDefault="00906E2E" w:rsidP="00906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SBHA has provided its own housing management service since 2012.  The office location is at the heart of our area of operation </w:t>
      </w:r>
      <w:r w:rsidR="00DA533F">
        <w:rPr>
          <w:rFonts w:ascii="Arial" w:hAnsi="Arial" w:cs="Arial"/>
        </w:rPr>
        <w:t>and</w:t>
      </w:r>
      <w:r w:rsidRPr="003F2CC6">
        <w:rPr>
          <w:rFonts w:ascii="Arial" w:hAnsi="Arial" w:cs="Arial"/>
        </w:rPr>
        <w:t xml:space="preserve"> provide</w:t>
      </w:r>
      <w:r w:rsidR="00DA533F">
        <w:rPr>
          <w:rFonts w:ascii="Arial" w:hAnsi="Arial" w:cs="Arial"/>
        </w:rPr>
        <w:t>s</w:t>
      </w:r>
      <w:r w:rsidRPr="003F2CC6">
        <w:rPr>
          <w:rFonts w:ascii="Arial" w:hAnsi="Arial" w:cs="Arial"/>
        </w:rPr>
        <w:t xml:space="preserve"> a more personal and improved</w:t>
      </w:r>
      <w:r>
        <w:rPr>
          <w:rFonts w:ascii="Arial" w:hAnsi="Arial" w:cs="Arial"/>
        </w:rPr>
        <w:t xml:space="preserve"> customer facing service. Our office </w:t>
      </w:r>
      <w:r w:rsidRPr="003F2CC6">
        <w:rPr>
          <w:rFonts w:ascii="Arial" w:hAnsi="Arial" w:cs="Arial"/>
        </w:rPr>
        <w:t xml:space="preserve">is </w:t>
      </w:r>
      <w:r w:rsidR="0007460C">
        <w:rPr>
          <w:rFonts w:ascii="Arial" w:hAnsi="Arial" w:cs="Arial"/>
        </w:rPr>
        <w:t xml:space="preserve">currently </w:t>
      </w:r>
      <w:r w:rsidRPr="003F2CC6">
        <w:rPr>
          <w:rFonts w:ascii="Arial" w:hAnsi="Arial" w:cs="Arial"/>
        </w:rPr>
        <w:t xml:space="preserve">rented on a fixed </w:t>
      </w:r>
      <w:r>
        <w:rPr>
          <w:rFonts w:ascii="Arial" w:hAnsi="Arial" w:cs="Arial"/>
        </w:rPr>
        <w:t>10 year lease from Liverpool</w:t>
      </w:r>
      <w:r w:rsidR="0007460C">
        <w:rPr>
          <w:rFonts w:ascii="Arial" w:hAnsi="Arial" w:cs="Arial"/>
        </w:rPr>
        <w:t xml:space="preserve"> City Council, however, we are in the process of purchasing the property </w:t>
      </w:r>
      <w:r>
        <w:rPr>
          <w:rFonts w:ascii="Arial" w:hAnsi="Arial" w:cs="Arial"/>
        </w:rPr>
        <w:t>from LCC</w:t>
      </w:r>
      <w:r w:rsidR="0007460C">
        <w:rPr>
          <w:rFonts w:ascii="Arial" w:hAnsi="Arial" w:cs="Arial"/>
        </w:rPr>
        <w:t xml:space="preserve"> having agreed terms</w:t>
      </w:r>
      <w:r>
        <w:rPr>
          <w:rFonts w:ascii="Arial" w:hAnsi="Arial" w:cs="Arial"/>
        </w:rPr>
        <w:t>.</w:t>
      </w:r>
      <w:r w:rsidRPr="003F2CC6">
        <w:rPr>
          <w:rFonts w:ascii="Arial" w:hAnsi="Arial" w:cs="Arial"/>
        </w:rPr>
        <w:t xml:space="preserve">    </w:t>
      </w:r>
    </w:p>
    <w:p w:rsidR="00906E2E" w:rsidRDefault="00906E2E" w:rsidP="00906E2E">
      <w:pPr>
        <w:rPr>
          <w:rFonts w:ascii="Arial" w:hAnsi="Arial" w:cs="Arial"/>
        </w:rPr>
      </w:pPr>
    </w:p>
    <w:p w:rsidR="00906E2E" w:rsidRDefault="00906E2E" w:rsidP="00906E2E">
      <w:pPr>
        <w:rPr>
          <w:rFonts w:ascii="Arial" w:hAnsi="Arial" w:cs="Arial"/>
        </w:rPr>
      </w:pPr>
      <w:r>
        <w:rPr>
          <w:rFonts w:ascii="Arial" w:hAnsi="Arial" w:cs="Arial"/>
        </w:rPr>
        <w:t>The Association has ensured that our housing management service is focused on delivering a more customer focused service with an emphasis in building relationships with our tenants to ensure that communication is open and that we get better at understanding their needs.</w:t>
      </w:r>
    </w:p>
    <w:p w:rsidR="00906E2E" w:rsidRPr="00906E2E" w:rsidRDefault="00906E2E" w:rsidP="00906E2E">
      <w:pPr>
        <w:rPr>
          <w:rFonts w:ascii="Arial" w:hAnsi="Arial" w:cs="Arial"/>
          <w:b/>
        </w:rPr>
      </w:pPr>
    </w:p>
    <w:p w:rsidR="00906E2E" w:rsidRDefault="00906E2E" w:rsidP="00906E2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2CC6">
        <w:rPr>
          <w:rFonts w:ascii="Arial" w:hAnsi="Arial" w:cs="Arial"/>
        </w:rPr>
        <w:t xml:space="preserve">he improved office arrangements have created a better located and more accessible stand-alone independent office with meeting and training facilities which can house more staff at a lower cost than the previous arrangements.   </w:t>
      </w:r>
    </w:p>
    <w:p w:rsidR="00906E2E" w:rsidRDefault="00906E2E" w:rsidP="003F2CC6">
      <w:pPr>
        <w:rPr>
          <w:rFonts w:ascii="Arial" w:hAnsi="Arial" w:cs="Arial"/>
        </w:rPr>
      </w:pPr>
    </w:p>
    <w:p w:rsidR="00906E2E" w:rsidRPr="00906E2E" w:rsidRDefault="00906E2E" w:rsidP="00BA4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We Do</w:t>
      </w:r>
      <w:r w:rsidRPr="00906E2E">
        <w:rPr>
          <w:rFonts w:ascii="Arial" w:hAnsi="Arial" w:cs="Arial"/>
          <w:b/>
        </w:rPr>
        <w:t>.</w:t>
      </w:r>
    </w:p>
    <w:p w:rsidR="00906E2E" w:rsidRDefault="00906E2E" w:rsidP="00BA4C9F">
      <w:pPr>
        <w:rPr>
          <w:rFonts w:ascii="Arial" w:hAnsi="Arial" w:cs="Arial"/>
          <w:b/>
        </w:rPr>
      </w:pPr>
    </w:p>
    <w:p w:rsidR="003720ED" w:rsidRDefault="00C40DEB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9E122B">
        <w:rPr>
          <w:rFonts w:ascii="Arial" w:hAnsi="Arial" w:cs="Arial"/>
        </w:rPr>
        <w:t>a BRM</w:t>
      </w:r>
      <w:r w:rsidR="00906E2E">
        <w:rPr>
          <w:rFonts w:ascii="Arial" w:hAnsi="Arial" w:cs="Arial"/>
        </w:rPr>
        <w:t xml:space="preserve"> Housing Association that is rooted in the community that we serve, as well as providing homes for people to live</w:t>
      </w:r>
      <w:r w:rsidR="00F46837">
        <w:rPr>
          <w:rFonts w:ascii="Arial" w:hAnsi="Arial" w:cs="Arial"/>
        </w:rPr>
        <w:t>,</w:t>
      </w:r>
      <w:r w:rsidR="00906E2E">
        <w:rPr>
          <w:rFonts w:ascii="Arial" w:hAnsi="Arial" w:cs="Arial"/>
        </w:rPr>
        <w:t xml:space="preserve"> we sup</w:t>
      </w:r>
      <w:r w:rsidR="00C93D56">
        <w:rPr>
          <w:rFonts w:ascii="Arial" w:hAnsi="Arial" w:cs="Arial"/>
        </w:rPr>
        <w:t>port our tenants and wider</w:t>
      </w:r>
      <w:r w:rsidR="00906E2E">
        <w:rPr>
          <w:rFonts w:ascii="Arial" w:hAnsi="Arial" w:cs="Arial"/>
        </w:rPr>
        <w:t xml:space="preserve"> diverse communities within our neighbourhoods</w:t>
      </w:r>
      <w:r w:rsidR="00C93D56">
        <w:rPr>
          <w:rFonts w:ascii="Arial" w:hAnsi="Arial" w:cs="Arial"/>
        </w:rPr>
        <w:t xml:space="preserve">.  </w:t>
      </w:r>
    </w:p>
    <w:p w:rsidR="00BC6F64" w:rsidRDefault="00BC6F64" w:rsidP="00BA4C9F">
      <w:pPr>
        <w:rPr>
          <w:rFonts w:ascii="Arial" w:hAnsi="Arial" w:cs="Arial"/>
        </w:rPr>
      </w:pPr>
    </w:p>
    <w:p w:rsidR="00BC6F64" w:rsidRDefault="00F46837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2016 we </w:t>
      </w:r>
      <w:r w:rsidR="00BC6F64">
        <w:rPr>
          <w:rFonts w:ascii="Arial" w:hAnsi="Arial" w:cs="Arial"/>
        </w:rPr>
        <w:t xml:space="preserve">carried out a comprehensive review of our repairs and maintenance service utilising the services of RAND consultancy.  </w:t>
      </w:r>
      <w:r>
        <w:rPr>
          <w:rFonts w:ascii="Arial" w:hAnsi="Arial" w:cs="Arial"/>
        </w:rPr>
        <w:t>As a result of the review, w</w:t>
      </w:r>
      <w:r w:rsidR="00BC6F64">
        <w:rPr>
          <w:rFonts w:ascii="Arial" w:hAnsi="Arial" w:cs="Arial"/>
        </w:rPr>
        <w:t>e have now moved from using a number of small repairs and maintenance contractors on an hourly rate to contra</w:t>
      </w:r>
      <w:r>
        <w:rPr>
          <w:rFonts w:ascii="Arial" w:hAnsi="Arial" w:cs="Arial"/>
        </w:rPr>
        <w:t xml:space="preserve">cting with one large contractor, </w:t>
      </w:r>
      <w:r w:rsidR="00BC6F64">
        <w:rPr>
          <w:rFonts w:ascii="Arial" w:hAnsi="Arial" w:cs="Arial"/>
        </w:rPr>
        <w:t xml:space="preserve">HMS to deliver a comprehensive repairs and maintenance service based on a schedule of rates. </w:t>
      </w:r>
      <w:r w:rsidR="009E122B">
        <w:rPr>
          <w:rFonts w:ascii="Arial" w:hAnsi="Arial" w:cs="Arial"/>
        </w:rPr>
        <w:t xml:space="preserve"> Early comparators</w:t>
      </w:r>
      <w:r w:rsidR="003668E9">
        <w:rPr>
          <w:rFonts w:ascii="Arial" w:hAnsi="Arial" w:cs="Arial"/>
        </w:rPr>
        <w:t xml:space="preserve"> for the </w:t>
      </w:r>
      <w:r w:rsidR="00CB5C44">
        <w:rPr>
          <w:rFonts w:ascii="Arial" w:hAnsi="Arial" w:cs="Arial"/>
        </w:rPr>
        <w:t xml:space="preserve">first quarter </w:t>
      </w:r>
      <w:r w:rsidR="003668E9">
        <w:rPr>
          <w:rFonts w:ascii="Arial" w:hAnsi="Arial" w:cs="Arial"/>
        </w:rPr>
        <w:t>of the year ending 31</w:t>
      </w:r>
      <w:r w:rsidR="003668E9" w:rsidRPr="003668E9">
        <w:rPr>
          <w:rFonts w:ascii="Arial" w:hAnsi="Arial" w:cs="Arial"/>
          <w:vertAlign w:val="superscript"/>
        </w:rPr>
        <w:t>st</w:t>
      </w:r>
      <w:r w:rsidR="003668E9">
        <w:rPr>
          <w:rFonts w:ascii="Arial" w:hAnsi="Arial" w:cs="Arial"/>
        </w:rPr>
        <w:t xml:space="preserve"> March 2018 sh</w:t>
      </w:r>
      <w:r w:rsidR="009E122B">
        <w:rPr>
          <w:rFonts w:ascii="Arial" w:hAnsi="Arial" w:cs="Arial"/>
        </w:rPr>
        <w:t>ow</w:t>
      </w:r>
      <w:r w:rsidR="00CB5C44">
        <w:rPr>
          <w:rFonts w:ascii="Arial" w:hAnsi="Arial" w:cs="Arial"/>
        </w:rPr>
        <w:t xml:space="preserve"> that we have</w:t>
      </w:r>
      <w:r w:rsidR="009E122B">
        <w:rPr>
          <w:rFonts w:ascii="Arial" w:hAnsi="Arial" w:cs="Arial"/>
        </w:rPr>
        <w:t xml:space="preserve"> ma</w:t>
      </w:r>
      <w:r w:rsidR="00CB5C44">
        <w:rPr>
          <w:rFonts w:ascii="Arial" w:hAnsi="Arial" w:cs="Arial"/>
        </w:rPr>
        <w:t>de £9,000</w:t>
      </w:r>
      <w:r w:rsidR="009E122B">
        <w:rPr>
          <w:rFonts w:ascii="Arial" w:hAnsi="Arial" w:cs="Arial"/>
        </w:rPr>
        <w:t xml:space="preserve"> savings</w:t>
      </w:r>
      <w:r w:rsidR="003668E9">
        <w:rPr>
          <w:rFonts w:ascii="Arial" w:hAnsi="Arial" w:cs="Arial"/>
        </w:rPr>
        <w:t xml:space="preserve"> compared to the same period the previous year</w:t>
      </w:r>
      <w:r w:rsidR="00CB5C44">
        <w:rPr>
          <w:rFonts w:ascii="Arial" w:hAnsi="Arial" w:cs="Arial"/>
        </w:rPr>
        <w:t xml:space="preserve">.  The second phase of </w:t>
      </w:r>
      <w:r>
        <w:rPr>
          <w:rFonts w:ascii="Arial" w:hAnsi="Arial" w:cs="Arial"/>
        </w:rPr>
        <w:t xml:space="preserve">the review, </w:t>
      </w:r>
      <w:r w:rsidR="00CB5C44">
        <w:rPr>
          <w:rFonts w:ascii="Arial" w:hAnsi="Arial" w:cs="Arial"/>
        </w:rPr>
        <w:t>looked at the management of our repairs service.  We</w:t>
      </w:r>
      <w:r w:rsidR="00BC6F64">
        <w:rPr>
          <w:rFonts w:ascii="Arial" w:hAnsi="Arial" w:cs="Arial"/>
        </w:rPr>
        <w:t xml:space="preserve"> compl</w:t>
      </w:r>
      <w:r w:rsidR="00CB5C44">
        <w:rPr>
          <w:rFonts w:ascii="Arial" w:hAnsi="Arial" w:cs="Arial"/>
        </w:rPr>
        <w:t>eted a value for money exercise</w:t>
      </w:r>
      <w:r>
        <w:rPr>
          <w:rFonts w:ascii="Arial" w:hAnsi="Arial" w:cs="Arial"/>
        </w:rPr>
        <w:t>, the result being that w</w:t>
      </w:r>
      <w:r w:rsidR="00BC6F64">
        <w:rPr>
          <w:rFonts w:ascii="Arial" w:hAnsi="Arial" w:cs="Arial"/>
        </w:rPr>
        <w:t>e have now appointed South Liverpool Homes</w:t>
      </w:r>
      <w:r>
        <w:rPr>
          <w:rFonts w:ascii="Arial" w:hAnsi="Arial" w:cs="Arial"/>
        </w:rPr>
        <w:t xml:space="preserve"> (SLH)</w:t>
      </w:r>
      <w:r w:rsidR="00CB5C44">
        <w:rPr>
          <w:rFonts w:ascii="Arial" w:hAnsi="Arial" w:cs="Arial"/>
        </w:rPr>
        <w:t xml:space="preserve"> to act as our managing agent in respect of repairs and maintenance</w:t>
      </w:r>
      <w:r>
        <w:rPr>
          <w:rFonts w:ascii="Arial" w:hAnsi="Arial" w:cs="Arial"/>
        </w:rPr>
        <w:t>.</w:t>
      </w:r>
      <w:r w:rsidR="00CB5C44">
        <w:rPr>
          <w:rFonts w:ascii="Arial" w:hAnsi="Arial" w:cs="Arial"/>
        </w:rPr>
        <w:t xml:space="preserve">  SLH</w:t>
      </w:r>
      <w:r w:rsidR="00BC6F64">
        <w:rPr>
          <w:rFonts w:ascii="Arial" w:hAnsi="Arial" w:cs="Arial"/>
        </w:rPr>
        <w:t xml:space="preserve"> will </w:t>
      </w:r>
      <w:r w:rsidR="00A376E4">
        <w:rPr>
          <w:rFonts w:ascii="Arial" w:hAnsi="Arial" w:cs="Arial"/>
        </w:rPr>
        <w:t>oversee the</w:t>
      </w:r>
      <w:r w:rsidR="00BC6F64">
        <w:rPr>
          <w:rFonts w:ascii="Arial" w:hAnsi="Arial" w:cs="Arial"/>
        </w:rPr>
        <w:t xml:space="preserve"> performance and quality of the contract with HMS, including the management of the planned and cyclical programmes and </w:t>
      </w:r>
      <w:r w:rsidR="00CB5C44">
        <w:rPr>
          <w:rFonts w:ascii="Arial" w:hAnsi="Arial" w:cs="Arial"/>
        </w:rPr>
        <w:t xml:space="preserve">the added value </w:t>
      </w:r>
      <w:r w:rsidR="000E4077">
        <w:rPr>
          <w:rFonts w:ascii="Arial" w:hAnsi="Arial" w:cs="Arial"/>
        </w:rPr>
        <w:t xml:space="preserve">of </w:t>
      </w:r>
      <w:r w:rsidR="00BC6F64">
        <w:rPr>
          <w:rFonts w:ascii="Arial" w:hAnsi="Arial" w:cs="Arial"/>
        </w:rPr>
        <w:t>ensur</w:t>
      </w:r>
      <w:r w:rsidR="000E4077">
        <w:rPr>
          <w:rFonts w:ascii="Arial" w:hAnsi="Arial" w:cs="Arial"/>
        </w:rPr>
        <w:t>ing</w:t>
      </w:r>
      <w:r w:rsidR="00BC6F64">
        <w:rPr>
          <w:rFonts w:ascii="Arial" w:hAnsi="Arial" w:cs="Arial"/>
        </w:rPr>
        <w:t xml:space="preserve"> that our health and safety regulatory and statutory obligations are met. </w:t>
      </w:r>
    </w:p>
    <w:p w:rsidR="003720ED" w:rsidRDefault="003720ED" w:rsidP="00BA4C9F">
      <w:pPr>
        <w:rPr>
          <w:rFonts w:ascii="Arial" w:hAnsi="Arial" w:cs="Arial"/>
        </w:rPr>
      </w:pPr>
    </w:p>
    <w:p w:rsidR="009A1F2D" w:rsidRDefault="009A1F2D" w:rsidP="009A1F2D">
      <w:pPr>
        <w:rPr>
          <w:rFonts w:ascii="Arial" w:hAnsi="Arial" w:cs="Arial"/>
        </w:rPr>
      </w:pPr>
      <w:r w:rsidRPr="003F2CC6">
        <w:rPr>
          <w:rFonts w:ascii="Arial" w:hAnsi="Arial" w:cs="Arial"/>
        </w:rPr>
        <w:t xml:space="preserve">In terms of </w:t>
      </w:r>
      <w:r>
        <w:rPr>
          <w:rFonts w:ascii="Arial" w:hAnsi="Arial" w:cs="Arial"/>
        </w:rPr>
        <w:t>s</w:t>
      </w:r>
      <w:r w:rsidRPr="003F2CC6">
        <w:rPr>
          <w:rFonts w:ascii="Arial" w:hAnsi="Arial" w:cs="Arial"/>
        </w:rPr>
        <w:t>ocial value,</w:t>
      </w:r>
      <w:r w:rsidR="00DA533F">
        <w:rPr>
          <w:rFonts w:ascii="Arial" w:hAnsi="Arial" w:cs="Arial"/>
        </w:rPr>
        <w:t xml:space="preserve"> as a unique BME Association, we employ</w:t>
      </w:r>
      <w:r w:rsidRPr="003F2CC6">
        <w:rPr>
          <w:rFonts w:ascii="Arial" w:hAnsi="Arial" w:cs="Arial"/>
        </w:rPr>
        <w:t xml:space="preserve"> a number of specialist staff, including a bilingual </w:t>
      </w:r>
      <w:r w:rsidR="00DA533F">
        <w:rPr>
          <w:rFonts w:ascii="Arial" w:hAnsi="Arial" w:cs="Arial"/>
        </w:rPr>
        <w:t>housing and neighbourhood services officer</w:t>
      </w:r>
      <w:r w:rsidRPr="003F2CC6">
        <w:rPr>
          <w:rFonts w:ascii="Arial" w:hAnsi="Arial" w:cs="Arial"/>
        </w:rPr>
        <w:t xml:space="preserve"> to assist with the effective integration of our non-English speaking tenants in the local community. </w:t>
      </w:r>
      <w:r>
        <w:rPr>
          <w:rFonts w:ascii="Arial" w:hAnsi="Arial" w:cs="Arial"/>
        </w:rPr>
        <w:t>T</w:t>
      </w:r>
      <w:r w:rsidRPr="003F2CC6">
        <w:rPr>
          <w:rFonts w:ascii="Arial" w:hAnsi="Arial" w:cs="Arial"/>
        </w:rPr>
        <w:t xml:space="preserve">he Association also employs a </w:t>
      </w:r>
      <w:r>
        <w:rPr>
          <w:rFonts w:ascii="Arial" w:hAnsi="Arial" w:cs="Arial"/>
        </w:rPr>
        <w:t>C</w:t>
      </w:r>
      <w:r w:rsidRPr="003F2CC6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Regeneration Manager</w:t>
      </w:r>
      <w:r w:rsidRPr="003F2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3F2CC6">
        <w:rPr>
          <w:rFonts w:ascii="Arial" w:hAnsi="Arial" w:cs="Arial"/>
        </w:rPr>
        <w:t xml:space="preserve">facilitate wider tenant involvement and participation in community led initiatives to improve social cohesion within our own and neighbouring communities. </w:t>
      </w:r>
      <w:r>
        <w:rPr>
          <w:rFonts w:ascii="Arial" w:hAnsi="Arial" w:cs="Arial"/>
        </w:rPr>
        <w:t xml:space="preserve"> </w:t>
      </w:r>
    </w:p>
    <w:p w:rsidR="009A1F2D" w:rsidRDefault="009A1F2D" w:rsidP="009A1F2D">
      <w:pPr>
        <w:rPr>
          <w:rFonts w:ascii="Arial" w:hAnsi="Arial" w:cs="Arial"/>
        </w:rPr>
      </w:pPr>
    </w:p>
    <w:p w:rsidR="00906E2E" w:rsidRDefault="00DA533F" w:rsidP="009A1F2D">
      <w:pPr>
        <w:rPr>
          <w:rFonts w:ascii="Arial" w:hAnsi="Arial" w:cs="Arial"/>
        </w:rPr>
      </w:pPr>
      <w:r>
        <w:rPr>
          <w:rFonts w:ascii="Arial" w:hAnsi="Arial" w:cs="Arial"/>
        </w:rPr>
        <w:t>Because of o</w:t>
      </w:r>
      <w:r w:rsidR="005674E2">
        <w:rPr>
          <w:rFonts w:ascii="Arial" w:hAnsi="Arial" w:cs="Arial"/>
        </w:rPr>
        <w:t>ur Community Regeneration Service</w:t>
      </w:r>
      <w:r>
        <w:rPr>
          <w:rFonts w:ascii="Arial" w:hAnsi="Arial" w:cs="Arial"/>
        </w:rPr>
        <w:t xml:space="preserve"> we are </w:t>
      </w:r>
      <w:r w:rsidR="009A1F2D">
        <w:rPr>
          <w:rFonts w:ascii="Arial" w:hAnsi="Arial" w:cs="Arial"/>
        </w:rPr>
        <w:t>recognised as a vital anchor organisation that</w:t>
      </w:r>
      <w:r w:rsidR="00906E2E">
        <w:rPr>
          <w:rFonts w:ascii="Arial" w:hAnsi="Arial" w:cs="Arial"/>
        </w:rPr>
        <w:t xml:space="preserve"> </w:t>
      </w:r>
      <w:r w:rsidR="00C93D56">
        <w:rPr>
          <w:rFonts w:ascii="Arial" w:hAnsi="Arial" w:cs="Arial"/>
        </w:rPr>
        <w:t>help</w:t>
      </w:r>
      <w:r w:rsidR="005674E2">
        <w:rPr>
          <w:rFonts w:ascii="Arial" w:hAnsi="Arial" w:cs="Arial"/>
        </w:rPr>
        <w:t>s</w:t>
      </w:r>
      <w:r w:rsidR="00C93D56">
        <w:rPr>
          <w:rFonts w:ascii="Arial" w:hAnsi="Arial" w:cs="Arial"/>
        </w:rPr>
        <w:t xml:space="preserve"> to support</w:t>
      </w:r>
      <w:r>
        <w:rPr>
          <w:rFonts w:ascii="Arial" w:hAnsi="Arial" w:cs="Arial"/>
        </w:rPr>
        <w:t xml:space="preserve"> and work</w:t>
      </w:r>
      <w:r w:rsidR="009A1F2D">
        <w:rPr>
          <w:rFonts w:ascii="Arial" w:hAnsi="Arial" w:cs="Arial"/>
        </w:rPr>
        <w:t xml:space="preserve"> with numerous</w:t>
      </w:r>
      <w:r w:rsidR="00C93D56">
        <w:rPr>
          <w:rFonts w:ascii="Arial" w:hAnsi="Arial" w:cs="Arial"/>
        </w:rPr>
        <w:t xml:space="preserve"> community organisations</w:t>
      </w:r>
      <w:r w:rsidR="009A1F2D">
        <w:rPr>
          <w:rFonts w:ascii="Arial" w:hAnsi="Arial" w:cs="Arial"/>
        </w:rPr>
        <w:t xml:space="preserve"> within our neighbourhood. W</w:t>
      </w:r>
      <w:r w:rsidR="00C93D56">
        <w:rPr>
          <w:rFonts w:ascii="Arial" w:hAnsi="Arial" w:cs="Arial"/>
        </w:rPr>
        <w:t>e work</w:t>
      </w:r>
      <w:r w:rsidR="00906E2E">
        <w:rPr>
          <w:rFonts w:ascii="Arial" w:hAnsi="Arial" w:cs="Arial"/>
        </w:rPr>
        <w:t xml:space="preserve"> in partnership with </w:t>
      </w:r>
      <w:r w:rsidR="009A1F2D">
        <w:rPr>
          <w:rFonts w:ascii="Arial" w:hAnsi="Arial" w:cs="Arial"/>
        </w:rPr>
        <w:t xml:space="preserve">individuals and </w:t>
      </w:r>
      <w:r w:rsidR="00906E2E">
        <w:rPr>
          <w:rFonts w:ascii="Arial" w:hAnsi="Arial" w:cs="Arial"/>
        </w:rPr>
        <w:t xml:space="preserve">a </w:t>
      </w:r>
      <w:r w:rsidR="009A1F2D">
        <w:rPr>
          <w:rFonts w:ascii="Arial" w:hAnsi="Arial" w:cs="Arial"/>
        </w:rPr>
        <w:t xml:space="preserve">wide variety </w:t>
      </w:r>
      <w:r w:rsidR="00906E2E">
        <w:rPr>
          <w:rFonts w:ascii="Arial" w:hAnsi="Arial" w:cs="Arial"/>
        </w:rPr>
        <w:t xml:space="preserve">of community organisations and statutory organisations </w:t>
      </w:r>
      <w:r w:rsidR="00C93D56">
        <w:rPr>
          <w:rFonts w:ascii="Arial" w:hAnsi="Arial" w:cs="Arial"/>
        </w:rPr>
        <w:t>to identify issues</w:t>
      </w:r>
      <w:r w:rsidR="00F46837">
        <w:rPr>
          <w:rFonts w:ascii="Arial" w:hAnsi="Arial" w:cs="Arial"/>
        </w:rPr>
        <w:t>,</w:t>
      </w:r>
      <w:r w:rsidR="009A1F2D">
        <w:rPr>
          <w:rFonts w:ascii="Arial" w:hAnsi="Arial" w:cs="Arial"/>
        </w:rPr>
        <w:t xml:space="preserve"> </w:t>
      </w:r>
      <w:r w:rsidR="00C93D56">
        <w:rPr>
          <w:rFonts w:ascii="Arial" w:hAnsi="Arial" w:cs="Arial"/>
        </w:rPr>
        <w:t>develop and deliver solutions within a framework that promotes racial equality and challenges discrimination.</w:t>
      </w:r>
    </w:p>
    <w:p w:rsidR="00C93D56" w:rsidRDefault="00C93D56" w:rsidP="00BA4C9F">
      <w:pPr>
        <w:rPr>
          <w:rFonts w:ascii="Arial" w:hAnsi="Arial" w:cs="Arial"/>
        </w:rPr>
      </w:pPr>
    </w:p>
    <w:p w:rsidR="00C93D56" w:rsidRDefault="009A1F2D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example of </w:t>
      </w:r>
      <w:r w:rsidR="00C93D56">
        <w:rPr>
          <w:rFonts w:ascii="Arial" w:hAnsi="Arial" w:cs="Arial"/>
        </w:rPr>
        <w:t xml:space="preserve">community organisations that we support </w:t>
      </w:r>
      <w:r>
        <w:rPr>
          <w:rFonts w:ascii="Arial" w:hAnsi="Arial" w:cs="Arial"/>
        </w:rPr>
        <w:t xml:space="preserve">and work closely with </w:t>
      </w:r>
      <w:r w:rsidR="00C93D56">
        <w:rPr>
          <w:rFonts w:ascii="Arial" w:hAnsi="Arial" w:cs="Arial"/>
        </w:rPr>
        <w:t xml:space="preserve">are: Amadudu Womens Domestic Violence Refuge, African Caribbean Heritage Centre, </w:t>
      </w:r>
      <w:r w:rsidR="005674E2">
        <w:rPr>
          <w:rFonts w:ascii="Arial" w:hAnsi="Arial" w:cs="Arial"/>
        </w:rPr>
        <w:t xml:space="preserve">Granby Four Streets Community Land Trust, </w:t>
      </w:r>
      <w:r w:rsidR="00C93D56">
        <w:rPr>
          <w:rFonts w:ascii="Arial" w:hAnsi="Arial" w:cs="Arial"/>
        </w:rPr>
        <w:t xml:space="preserve">The Unity Youth Club, the Pakistani Multi-Cultural Centre, the Somali </w:t>
      </w:r>
      <w:r w:rsidR="005674E2">
        <w:rPr>
          <w:rFonts w:ascii="Arial" w:hAnsi="Arial" w:cs="Arial"/>
        </w:rPr>
        <w:t xml:space="preserve">Womens Group. </w:t>
      </w:r>
      <w:r w:rsidR="00DA533F">
        <w:rPr>
          <w:rFonts w:ascii="Arial" w:hAnsi="Arial" w:cs="Arial"/>
        </w:rPr>
        <w:t>(</w:t>
      </w:r>
      <w:r w:rsidR="00A376E4">
        <w:rPr>
          <w:rFonts w:ascii="Arial" w:hAnsi="Arial" w:cs="Arial"/>
        </w:rPr>
        <w:t>List</w:t>
      </w:r>
      <w:r w:rsidR="00DA533F">
        <w:rPr>
          <w:rFonts w:ascii="Arial" w:hAnsi="Arial" w:cs="Arial"/>
        </w:rPr>
        <w:t xml:space="preserve"> not exhaustive)</w:t>
      </w:r>
      <w:r w:rsidR="005674E2">
        <w:rPr>
          <w:rFonts w:ascii="Arial" w:hAnsi="Arial" w:cs="Arial"/>
        </w:rPr>
        <w:t xml:space="preserve"> </w:t>
      </w:r>
      <w:r w:rsidR="00DA533F">
        <w:rPr>
          <w:rFonts w:ascii="Arial" w:hAnsi="Arial" w:cs="Arial"/>
        </w:rPr>
        <w:t>More recently, we have been working with residents in the Lodge Lane area following the shooting that led to the death of an 18 year old boy.</w:t>
      </w:r>
    </w:p>
    <w:p w:rsidR="005674E2" w:rsidRDefault="005674E2" w:rsidP="00BA4C9F">
      <w:pPr>
        <w:rPr>
          <w:rFonts w:ascii="Arial" w:hAnsi="Arial" w:cs="Arial"/>
        </w:rPr>
      </w:pPr>
    </w:p>
    <w:p w:rsidR="005674E2" w:rsidRDefault="005674E2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play a strategic role within </w:t>
      </w:r>
      <w:r w:rsidR="00597943">
        <w:rPr>
          <w:rFonts w:ascii="Arial" w:hAnsi="Arial" w:cs="Arial"/>
        </w:rPr>
        <w:t>the City’s</w:t>
      </w:r>
      <w:r>
        <w:rPr>
          <w:rFonts w:ascii="Arial" w:hAnsi="Arial" w:cs="Arial"/>
        </w:rPr>
        <w:t xml:space="preserve"> governing structures, such as the City Region Housing Partnership, The Equalities in Housing Working Group, the Merseyside Community Safety Partnership and the Liverpool Strategic Community Cohesion Partnership.</w:t>
      </w:r>
    </w:p>
    <w:p w:rsidR="005674E2" w:rsidRDefault="005674E2" w:rsidP="00BA4C9F">
      <w:pPr>
        <w:rPr>
          <w:rFonts w:ascii="Arial" w:hAnsi="Arial" w:cs="Arial"/>
        </w:rPr>
      </w:pPr>
    </w:p>
    <w:p w:rsidR="009A1F2D" w:rsidRDefault="005674E2" w:rsidP="00BA4C9F">
      <w:pPr>
        <w:rPr>
          <w:rFonts w:ascii="Arial" w:hAnsi="Arial" w:cs="Arial"/>
        </w:rPr>
      </w:pPr>
      <w:r>
        <w:rPr>
          <w:rFonts w:ascii="Arial" w:hAnsi="Arial" w:cs="Arial"/>
        </w:rPr>
        <w:t>We have a h</w:t>
      </w:r>
      <w:r w:rsidR="00DA533F">
        <w:rPr>
          <w:rFonts w:ascii="Arial" w:hAnsi="Arial" w:cs="Arial"/>
        </w:rPr>
        <w:t>istory of taking on volunteers, our two recent volunteers have gone on to gain full time employment</w:t>
      </w:r>
      <w:r w:rsidR="004F4F83">
        <w:rPr>
          <w:rFonts w:ascii="Arial" w:hAnsi="Arial" w:cs="Arial"/>
        </w:rPr>
        <w:t xml:space="preserve">.  We have </w:t>
      </w:r>
      <w:r w:rsidR="00A376E4">
        <w:rPr>
          <w:rFonts w:ascii="Arial" w:hAnsi="Arial" w:cs="Arial"/>
        </w:rPr>
        <w:t>been successful</w:t>
      </w:r>
      <w:r w:rsidR="00DA533F">
        <w:rPr>
          <w:rFonts w:ascii="Arial" w:hAnsi="Arial" w:cs="Arial"/>
        </w:rPr>
        <w:t xml:space="preserve"> in a grant application to Lottery </w:t>
      </w:r>
      <w:r w:rsidR="00DA533F">
        <w:rPr>
          <w:rFonts w:ascii="Arial" w:hAnsi="Arial" w:cs="Arial"/>
        </w:rPr>
        <w:lastRenderedPageBreak/>
        <w:t>Celebrate for £10</w:t>
      </w:r>
      <w:r>
        <w:rPr>
          <w:rFonts w:ascii="Arial" w:hAnsi="Arial" w:cs="Arial"/>
        </w:rPr>
        <w:t xml:space="preserve">,000 to run a </w:t>
      </w:r>
      <w:r w:rsidR="00DA533F">
        <w:rPr>
          <w:rFonts w:ascii="Arial" w:hAnsi="Arial" w:cs="Arial"/>
        </w:rPr>
        <w:t>number of celebratory events</w:t>
      </w:r>
      <w:r w:rsidR="004F4F83">
        <w:rPr>
          <w:rFonts w:ascii="Arial" w:hAnsi="Arial" w:cs="Arial"/>
        </w:rPr>
        <w:t xml:space="preserve"> throughout 2017</w:t>
      </w:r>
      <w:r w:rsidR="00DA533F">
        <w:rPr>
          <w:rFonts w:ascii="Arial" w:hAnsi="Arial" w:cs="Arial"/>
        </w:rPr>
        <w:t xml:space="preserve"> that celebrate </w:t>
      </w:r>
      <w:r w:rsidR="00A376E4">
        <w:rPr>
          <w:rFonts w:ascii="Arial" w:hAnsi="Arial" w:cs="Arial"/>
        </w:rPr>
        <w:t>SBHA’s 30th</w:t>
      </w:r>
      <w:r w:rsidR="00DA533F">
        <w:rPr>
          <w:rFonts w:ascii="Arial" w:hAnsi="Arial" w:cs="Arial"/>
        </w:rPr>
        <w:t xml:space="preserve"> birthday</w:t>
      </w:r>
      <w:r w:rsidR="004F4F83">
        <w:rPr>
          <w:rFonts w:ascii="Arial" w:hAnsi="Arial" w:cs="Arial"/>
        </w:rPr>
        <w:t>.</w:t>
      </w:r>
    </w:p>
    <w:p w:rsidR="004F4F83" w:rsidRDefault="004F4F83" w:rsidP="00BA4C9F">
      <w:pPr>
        <w:rPr>
          <w:rFonts w:ascii="Arial" w:hAnsi="Arial" w:cs="Arial"/>
        </w:rPr>
      </w:pPr>
    </w:p>
    <w:p w:rsidR="009A1F2D" w:rsidRDefault="009A1F2D" w:rsidP="009A1F2D">
      <w:pPr>
        <w:rPr>
          <w:rFonts w:ascii="Arial" w:hAnsi="Arial" w:cs="Arial"/>
        </w:rPr>
      </w:pPr>
      <w:r>
        <w:rPr>
          <w:rFonts w:ascii="Arial" w:hAnsi="Arial" w:cs="Arial"/>
        </w:rPr>
        <w:t>The Association has invested in the HACT Social Investment Impact tool so that we are able to monitor and have a clear understanding in respect of value for money a</w:t>
      </w:r>
      <w:r w:rsidR="00DA533F">
        <w:rPr>
          <w:rFonts w:ascii="Arial" w:hAnsi="Arial" w:cs="Arial"/>
        </w:rPr>
        <w:t xml:space="preserve">nd of the social impact of our community regeneration </w:t>
      </w:r>
      <w:r>
        <w:rPr>
          <w:rFonts w:ascii="Arial" w:hAnsi="Arial" w:cs="Arial"/>
        </w:rPr>
        <w:t>service to our local community.</w:t>
      </w:r>
      <w:r w:rsidRPr="003F2CC6">
        <w:rPr>
          <w:rFonts w:ascii="Arial" w:hAnsi="Arial" w:cs="Arial"/>
        </w:rPr>
        <w:t xml:space="preserve"> </w:t>
      </w:r>
    </w:p>
    <w:p w:rsidR="00EF7053" w:rsidRDefault="00EF7053" w:rsidP="009A1F2D">
      <w:pPr>
        <w:rPr>
          <w:rFonts w:ascii="Arial" w:hAnsi="Arial" w:cs="Arial"/>
        </w:rPr>
      </w:pPr>
    </w:p>
    <w:p w:rsidR="00EF7053" w:rsidRPr="00F46837" w:rsidRDefault="006619B3" w:rsidP="009A1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continue to distribute </w:t>
      </w:r>
      <w:r w:rsidR="00F46837">
        <w:rPr>
          <w:rFonts w:ascii="Arial" w:hAnsi="Arial" w:cs="Arial"/>
        </w:rPr>
        <w:t xml:space="preserve">small grants </w:t>
      </w:r>
      <w:r>
        <w:rPr>
          <w:rFonts w:ascii="Arial" w:hAnsi="Arial" w:cs="Arial"/>
        </w:rPr>
        <w:t>to community organisations via our community small grants programme.  For the year 2016/17</w:t>
      </w:r>
      <w:r w:rsidR="00645B76">
        <w:rPr>
          <w:rFonts w:ascii="Arial" w:hAnsi="Arial" w:cs="Arial"/>
        </w:rPr>
        <w:t xml:space="preserve"> the activities </w:t>
      </w:r>
      <w:r w:rsidR="00645B76" w:rsidRPr="00F46837">
        <w:rPr>
          <w:rFonts w:ascii="Arial" w:hAnsi="Arial" w:cs="Arial"/>
        </w:rPr>
        <w:t xml:space="preserve">reached </w:t>
      </w:r>
      <w:r w:rsidR="00F46837" w:rsidRPr="00F46837">
        <w:rPr>
          <w:rFonts w:ascii="Arial" w:hAnsi="Arial" w:cs="Arial"/>
        </w:rPr>
        <w:t>260</w:t>
      </w:r>
      <w:r w:rsidR="00645B76" w:rsidRPr="00F46837">
        <w:rPr>
          <w:rFonts w:ascii="Arial" w:hAnsi="Arial" w:cs="Arial"/>
        </w:rPr>
        <w:t xml:space="preserve"> people and giving a social value of £</w:t>
      </w:r>
      <w:r w:rsidR="00F46837">
        <w:rPr>
          <w:rFonts w:ascii="Arial" w:hAnsi="Arial" w:cs="Arial"/>
        </w:rPr>
        <w:t>1,747</w:t>
      </w:r>
      <w:r w:rsidR="00645B76" w:rsidRPr="00F46837">
        <w:rPr>
          <w:rFonts w:ascii="Arial" w:hAnsi="Arial" w:cs="Arial"/>
        </w:rPr>
        <w:t xml:space="preserve"> per person and an overall social value impact of £</w:t>
      </w:r>
      <w:r w:rsidR="00F46837">
        <w:rPr>
          <w:rFonts w:ascii="Arial" w:hAnsi="Arial" w:cs="Arial"/>
        </w:rPr>
        <w:t>534,602</w:t>
      </w:r>
      <w:r w:rsidR="00645B76" w:rsidRPr="00F46837">
        <w:rPr>
          <w:rFonts w:ascii="Arial" w:hAnsi="Arial" w:cs="Arial"/>
        </w:rPr>
        <w:t xml:space="preserve"> </w:t>
      </w:r>
    </w:p>
    <w:p w:rsidR="00645B76" w:rsidRDefault="00645B76" w:rsidP="009A1F2D">
      <w:pPr>
        <w:rPr>
          <w:rFonts w:ascii="Arial" w:hAnsi="Arial" w:cs="Arial"/>
        </w:rPr>
      </w:pPr>
    </w:p>
    <w:p w:rsidR="00645B76" w:rsidRDefault="00645B76" w:rsidP="009A1F2D">
      <w:pPr>
        <w:rPr>
          <w:rFonts w:ascii="Arial" w:hAnsi="Arial" w:cs="Arial"/>
        </w:rPr>
      </w:pPr>
      <w:r>
        <w:rPr>
          <w:rFonts w:ascii="Arial" w:hAnsi="Arial" w:cs="Arial"/>
        </w:rPr>
        <w:t>Our annual young person’s achievers conference</w:t>
      </w:r>
      <w:r w:rsidR="0082254C">
        <w:rPr>
          <w:rFonts w:ascii="Arial" w:hAnsi="Arial" w:cs="Arial"/>
        </w:rPr>
        <w:t xml:space="preserve"> achieved 45 </w:t>
      </w:r>
      <w:r w:rsidR="00F46837">
        <w:rPr>
          <w:rFonts w:ascii="Arial" w:hAnsi="Arial" w:cs="Arial"/>
        </w:rPr>
        <w:t>beneficiaries, giving a social value of £</w:t>
      </w:r>
      <w:r w:rsidR="0082254C">
        <w:rPr>
          <w:rFonts w:ascii="Arial" w:hAnsi="Arial" w:cs="Arial"/>
        </w:rPr>
        <w:t>9,283</w:t>
      </w:r>
      <w:r w:rsidR="00F46837">
        <w:rPr>
          <w:rFonts w:ascii="Arial" w:hAnsi="Arial" w:cs="Arial"/>
        </w:rPr>
        <w:t xml:space="preserve"> per person with an overall </w:t>
      </w:r>
      <w:r w:rsidR="00853EB2">
        <w:rPr>
          <w:rFonts w:ascii="Arial" w:hAnsi="Arial" w:cs="Arial"/>
        </w:rPr>
        <w:t>social value</w:t>
      </w:r>
      <w:r w:rsidR="00F46837">
        <w:rPr>
          <w:rFonts w:ascii="Arial" w:hAnsi="Arial" w:cs="Arial"/>
        </w:rPr>
        <w:t xml:space="preserve"> impact of £3</w:t>
      </w:r>
      <w:r w:rsidR="0082254C">
        <w:rPr>
          <w:rFonts w:ascii="Arial" w:hAnsi="Arial" w:cs="Arial"/>
        </w:rPr>
        <w:t>30,919</w:t>
      </w:r>
      <w:r w:rsidRPr="00645B76">
        <w:rPr>
          <w:rFonts w:ascii="Arial" w:hAnsi="Arial" w:cs="Arial"/>
          <w:b/>
          <w:i/>
        </w:rPr>
        <w:t>.</w:t>
      </w:r>
    </w:p>
    <w:p w:rsidR="005674E2" w:rsidRDefault="005674E2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1F80" w:rsidRDefault="00477A68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Association </w:t>
      </w:r>
      <w:r w:rsidR="00713E17">
        <w:rPr>
          <w:rFonts w:ascii="Arial" w:hAnsi="Arial" w:cs="Arial"/>
        </w:rPr>
        <w:t>carries out a comprehensive customer satisfaction survey once every 3 years.  A full</w:t>
      </w:r>
      <w:r w:rsidR="001F7322">
        <w:rPr>
          <w:rFonts w:ascii="Arial" w:hAnsi="Arial" w:cs="Arial"/>
        </w:rPr>
        <w:t xml:space="preserve"> STA</w:t>
      </w:r>
      <w:r w:rsidR="00BA4C9F">
        <w:rPr>
          <w:rFonts w:ascii="Arial" w:hAnsi="Arial" w:cs="Arial"/>
        </w:rPr>
        <w:t xml:space="preserve">R survey was undertaken in 2015 with the results widely reported back to tenants.  We want to </w:t>
      </w:r>
      <w:r w:rsidR="00A623D2">
        <w:rPr>
          <w:rFonts w:ascii="Arial" w:hAnsi="Arial" w:cs="Arial"/>
        </w:rPr>
        <w:t>track our</w:t>
      </w:r>
      <w:r w:rsidR="00BA4C9F">
        <w:rPr>
          <w:rFonts w:ascii="Arial" w:hAnsi="Arial" w:cs="Arial"/>
        </w:rPr>
        <w:t xml:space="preserve"> performance and our tenant</w:t>
      </w:r>
      <w:r w:rsidR="00F83826">
        <w:rPr>
          <w:rFonts w:ascii="Arial" w:hAnsi="Arial" w:cs="Arial"/>
        </w:rPr>
        <w:t>’</w:t>
      </w:r>
      <w:r w:rsidR="00BA4C9F">
        <w:rPr>
          <w:rFonts w:ascii="Arial" w:hAnsi="Arial" w:cs="Arial"/>
        </w:rPr>
        <w:t xml:space="preserve">s perception </w:t>
      </w:r>
      <w:r w:rsidR="00A623D2">
        <w:rPr>
          <w:rFonts w:ascii="Arial" w:hAnsi="Arial" w:cs="Arial"/>
        </w:rPr>
        <w:t xml:space="preserve">of our service delivery.  </w:t>
      </w:r>
      <w:r w:rsidR="00C61F80">
        <w:rPr>
          <w:rFonts w:ascii="Arial" w:hAnsi="Arial" w:cs="Arial"/>
        </w:rPr>
        <w:t xml:space="preserve">Two key areas identified by tenants as being important to them is our repairs service and customer service. </w:t>
      </w:r>
    </w:p>
    <w:p w:rsidR="00C61F80" w:rsidRDefault="00C61F80" w:rsidP="00BA4C9F">
      <w:pPr>
        <w:rPr>
          <w:rFonts w:ascii="Arial" w:hAnsi="Arial" w:cs="Arial"/>
        </w:rPr>
      </w:pPr>
    </w:p>
    <w:p w:rsidR="00BA4C9F" w:rsidRDefault="00DA533F" w:rsidP="00BA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A4C9F">
        <w:rPr>
          <w:rFonts w:ascii="Arial" w:hAnsi="Arial" w:cs="Arial"/>
        </w:rPr>
        <w:t xml:space="preserve">commissioned a shorter survey that </w:t>
      </w:r>
      <w:r>
        <w:rPr>
          <w:rFonts w:ascii="Arial" w:hAnsi="Arial" w:cs="Arial"/>
        </w:rPr>
        <w:t>took place dur</w:t>
      </w:r>
      <w:r w:rsidR="00BA4C9F">
        <w:rPr>
          <w:rFonts w:ascii="Arial" w:hAnsi="Arial" w:cs="Arial"/>
        </w:rPr>
        <w:t>ing the summer months of 2016</w:t>
      </w:r>
      <w:r w:rsidR="00645B76">
        <w:rPr>
          <w:rFonts w:ascii="Arial" w:hAnsi="Arial" w:cs="Arial"/>
        </w:rPr>
        <w:t xml:space="preserve"> ahead of changes to our repairs service, it is our intention to </w:t>
      </w:r>
      <w:r w:rsidR="00E02381">
        <w:rPr>
          <w:rFonts w:ascii="Arial" w:hAnsi="Arial" w:cs="Arial"/>
        </w:rPr>
        <w:t>carry out</w:t>
      </w:r>
      <w:r w:rsidR="00645B76">
        <w:rPr>
          <w:rFonts w:ascii="Arial" w:hAnsi="Arial" w:cs="Arial"/>
        </w:rPr>
        <w:t xml:space="preserve"> a further survey once the new repairs service has been running for a 12 month period.  We will also carry out shorter annual surveys</w:t>
      </w:r>
      <w:r w:rsidR="00C61F80">
        <w:rPr>
          <w:rFonts w:ascii="Arial" w:hAnsi="Arial" w:cs="Arial"/>
        </w:rPr>
        <w:t xml:space="preserve"> to enable us to</w:t>
      </w:r>
      <w:r w:rsidR="00BA4C9F">
        <w:rPr>
          <w:rFonts w:ascii="Arial" w:hAnsi="Arial" w:cs="Arial"/>
        </w:rPr>
        <w:t xml:space="preserve"> track </w:t>
      </w:r>
      <w:r w:rsidR="00C61F80">
        <w:rPr>
          <w:rFonts w:ascii="Arial" w:hAnsi="Arial" w:cs="Arial"/>
        </w:rPr>
        <w:t>our performance</w:t>
      </w:r>
      <w:r w:rsidR="00BA4C9F">
        <w:rPr>
          <w:rFonts w:ascii="Arial" w:hAnsi="Arial" w:cs="Arial"/>
        </w:rPr>
        <w:t xml:space="preserve"> over a period of time</w:t>
      </w:r>
      <w:r w:rsidR="00C61F80">
        <w:rPr>
          <w:rFonts w:ascii="Arial" w:hAnsi="Arial" w:cs="Arial"/>
        </w:rPr>
        <w:t xml:space="preserve"> and to enable us to review and adjust services where necessary in a more timely fashion</w:t>
      </w:r>
      <w:r w:rsidR="00BA4C9F">
        <w:rPr>
          <w:rFonts w:ascii="Arial" w:hAnsi="Arial" w:cs="Arial"/>
        </w:rPr>
        <w:t>.</w:t>
      </w:r>
    </w:p>
    <w:p w:rsidR="00DA533F" w:rsidRPr="00CF0DA7" w:rsidRDefault="00DA533F" w:rsidP="00BA4C9F">
      <w:pPr>
        <w:rPr>
          <w:rFonts w:ascii="Arial" w:hAnsi="Arial" w:cs="Arial"/>
        </w:rPr>
      </w:pPr>
    </w:p>
    <w:p w:rsidR="001F7322" w:rsidRDefault="00A72F55" w:rsidP="003F2CC6">
      <w:pPr>
        <w:rPr>
          <w:rFonts w:ascii="Arial" w:hAnsi="Arial" w:cs="Arial"/>
        </w:rPr>
      </w:pPr>
      <w:r>
        <w:rPr>
          <w:rFonts w:ascii="Arial" w:hAnsi="Arial" w:cs="Arial"/>
        </w:rPr>
        <w:t>We continue to hold bi-monthly te</w:t>
      </w:r>
      <w:r w:rsidR="00645B76">
        <w:rPr>
          <w:rFonts w:ascii="Arial" w:hAnsi="Arial" w:cs="Arial"/>
        </w:rPr>
        <w:t>nants meetings and hold them in different venues in the neighbourhoods that we operate.  W</w:t>
      </w:r>
      <w:r w:rsidR="00C61F80">
        <w:rPr>
          <w:rFonts w:ascii="Arial" w:hAnsi="Arial" w:cs="Arial"/>
        </w:rPr>
        <w:t>e also</w:t>
      </w:r>
      <w:r>
        <w:rPr>
          <w:rFonts w:ascii="Arial" w:hAnsi="Arial" w:cs="Arial"/>
        </w:rPr>
        <w:t xml:space="preserve"> hold a variety of activities to enable tenants to connect with ourselves, </w:t>
      </w:r>
      <w:r w:rsidR="00477A68">
        <w:rPr>
          <w:rFonts w:ascii="Arial" w:hAnsi="Arial" w:cs="Arial"/>
        </w:rPr>
        <w:t xml:space="preserve">and for us to have an </w:t>
      </w:r>
      <w:r w:rsidR="00365D67">
        <w:rPr>
          <w:rFonts w:ascii="Arial" w:hAnsi="Arial" w:cs="Arial"/>
        </w:rPr>
        <w:t>on-going</w:t>
      </w:r>
      <w:r w:rsidR="00477A68">
        <w:rPr>
          <w:rFonts w:ascii="Arial" w:hAnsi="Arial" w:cs="Arial"/>
        </w:rPr>
        <w:t xml:space="preserve"> discussion with our tenants about service delivery, </w:t>
      </w:r>
      <w:r>
        <w:rPr>
          <w:rFonts w:ascii="Arial" w:hAnsi="Arial" w:cs="Arial"/>
        </w:rPr>
        <w:t xml:space="preserve">such as focus groups, coffee mornings, walk and talk, </w:t>
      </w:r>
      <w:r w:rsidR="00365D67">
        <w:rPr>
          <w:rFonts w:ascii="Arial" w:hAnsi="Arial" w:cs="Arial"/>
        </w:rPr>
        <w:t>tenant’s</w:t>
      </w:r>
      <w:r>
        <w:rPr>
          <w:rFonts w:ascii="Arial" w:hAnsi="Arial" w:cs="Arial"/>
        </w:rPr>
        <w:t xml:space="preserve"> inspectors and better use of social media.</w:t>
      </w:r>
      <w:r w:rsidR="001F7322">
        <w:rPr>
          <w:rFonts w:ascii="Arial" w:hAnsi="Arial" w:cs="Arial"/>
        </w:rPr>
        <w:t xml:space="preserve"> </w:t>
      </w:r>
    </w:p>
    <w:p w:rsidR="00C61F80" w:rsidRDefault="00C61F80" w:rsidP="003F2CC6">
      <w:pPr>
        <w:rPr>
          <w:rFonts w:ascii="Arial" w:hAnsi="Arial" w:cs="Arial"/>
        </w:rPr>
      </w:pPr>
    </w:p>
    <w:p w:rsidR="009A1F2D" w:rsidRDefault="009A1F2D" w:rsidP="00C61F80">
      <w:pPr>
        <w:rPr>
          <w:rFonts w:ascii="Arial" w:hAnsi="Arial" w:cs="Arial"/>
        </w:rPr>
      </w:pPr>
    </w:p>
    <w:p w:rsidR="003720ED" w:rsidRDefault="003720ED" w:rsidP="003F2CC6">
      <w:pPr>
        <w:rPr>
          <w:rFonts w:ascii="Arial" w:hAnsi="Arial" w:cs="Arial"/>
          <w:b/>
        </w:rPr>
      </w:pPr>
      <w:r w:rsidRPr="003720ED">
        <w:rPr>
          <w:rFonts w:ascii="Arial" w:hAnsi="Arial" w:cs="Arial"/>
          <w:b/>
        </w:rPr>
        <w:t>Performance.</w:t>
      </w:r>
    </w:p>
    <w:p w:rsidR="003720ED" w:rsidRDefault="003720ED" w:rsidP="003F2CC6">
      <w:pPr>
        <w:rPr>
          <w:rFonts w:ascii="Arial" w:hAnsi="Arial" w:cs="Arial"/>
          <w:b/>
        </w:rPr>
      </w:pPr>
    </w:p>
    <w:p w:rsidR="003720ED" w:rsidRDefault="003720ED" w:rsidP="003720E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2CC6">
        <w:rPr>
          <w:rFonts w:ascii="Arial" w:hAnsi="Arial" w:cs="Arial"/>
        </w:rPr>
        <w:t>he Associa</w:t>
      </w:r>
      <w:r>
        <w:rPr>
          <w:rFonts w:ascii="Arial" w:hAnsi="Arial" w:cs="Arial"/>
        </w:rPr>
        <w:t xml:space="preserve">tion’s Board </w:t>
      </w:r>
      <w:r w:rsidRPr="003F2CC6">
        <w:rPr>
          <w:rFonts w:ascii="Arial" w:hAnsi="Arial" w:cs="Arial"/>
        </w:rPr>
        <w:t xml:space="preserve">monitor’s a range of key quarterly performance indicators and reviews progress against pre agreed annual targets using a traffic light system. </w:t>
      </w:r>
    </w:p>
    <w:p w:rsidR="003720ED" w:rsidRDefault="003720ED" w:rsidP="003720ED">
      <w:pPr>
        <w:rPr>
          <w:rFonts w:ascii="Arial" w:hAnsi="Arial" w:cs="Arial"/>
        </w:rPr>
      </w:pPr>
    </w:p>
    <w:p w:rsidR="003720ED" w:rsidRDefault="003720ED" w:rsidP="00372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also members of the Acuity Benchmarking group and are able to benchmark our services with similar size/peer organisations to further evidence how we deliver </w:t>
      </w:r>
      <w:r w:rsidRPr="003F2CC6">
        <w:rPr>
          <w:rFonts w:ascii="Arial" w:hAnsi="Arial" w:cs="Arial"/>
        </w:rPr>
        <w:t>value for money.</w:t>
      </w:r>
    </w:p>
    <w:p w:rsidR="003720ED" w:rsidRPr="003720ED" w:rsidRDefault="003720ED" w:rsidP="003F2CC6">
      <w:pPr>
        <w:rPr>
          <w:rFonts w:ascii="Arial" w:hAnsi="Arial" w:cs="Arial"/>
          <w:b/>
        </w:rPr>
      </w:pPr>
    </w:p>
    <w:p w:rsidR="00477A68" w:rsidRPr="0084733B" w:rsidRDefault="00477A68" w:rsidP="00477A68">
      <w:pPr>
        <w:rPr>
          <w:rFonts w:ascii="Arial" w:hAnsi="Arial" w:cs="Arial"/>
          <w:b/>
        </w:rPr>
      </w:pPr>
      <w:r w:rsidRPr="0084733B">
        <w:rPr>
          <w:rFonts w:ascii="Arial" w:hAnsi="Arial" w:cs="Arial"/>
        </w:rPr>
        <w:t xml:space="preserve">The Association’s operating costs (excluding housing property depreciation) have </w:t>
      </w:r>
      <w:r w:rsidR="00530F3A">
        <w:rPr>
          <w:rFonts w:ascii="Arial" w:hAnsi="Arial" w:cs="Arial"/>
        </w:rPr>
        <w:t xml:space="preserve">increased from </w:t>
      </w:r>
      <w:r w:rsidRPr="0084733B">
        <w:rPr>
          <w:rFonts w:ascii="Arial" w:hAnsi="Arial" w:cs="Arial"/>
        </w:rPr>
        <w:t xml:space="preserve">the </w:t>
      </w:r>
      <w:r w:rsidR="00A376E4" w:rsidRPr="0084733B">
        <w:rPr>
          <w:rFonts w:ascii="Arial" w:hAnsi="Arial" w:cs="Arial"/>
        </w:rPr>
        <w:t>previous year’s</w:t>
      </w:r>
      <w:r w:rsidR="00530F3A">
        <w:rPr>
          <w:rFonts w:ascii="Arial" w:hAnsi="Arial" w:cs="Arial"/>
        </w:rPr>
        <w:t xml:space="preserve"> performance</w:t>
      </w:r>
      <w:r w:rsidRPr="0084733B">
        <w:rPr>
          <w:rFonts w:ascii="Arial" w:hAnsi="Arial" w:cs="Arial"/>
        </w:rPr>
        <w:t xml:space="preserve"> 2013, £8</w:t>
      </w:r>
      <w:r w:rsidR="001C68C2">
        <w:rPr>
          <w:rFonts w:ascii="Arial" w:hAnsi="Arial" w:cs="Arial"/>
        </w:rPr>
        <w:t>48</w:t>
      </w:r>
      <w:r w:rsidR="00AD058D">
        <w:rPr>
          <w:rFonts w:ascii="Arial" w:hAnsi="Arial" w:cs="Arial"/>
        </w:rPr>
        <w:t>,</w:t>
      </w:r>
      <w:r w:rsidR="00DD4616">
        <w:rPr>
          <w:rFonts w:ascii="Arial" w:hAnsi="Arial" w:cs="Arial"/>
        </w:rPr>
        <w:t>10</w:t>
      </w:r>
      <w:r w:rsidR="00AD058D">
        <w:rPr>
          <w:rFonts w:ascii="Arial" w:hAnsi="Arial" w:cs="Arial"/>
        </w:rPr>
        <w:t>1</w:t>
      </w:r>
      <w:r w:rsidR="001C68C2">
        <w:rPr>
          <w:rFonts w:ascii="Arial" w:hAnsi="Arial" w:cs="Arial"/>
        </w:rPr>
        <w:t>,</w:t>
      </w:r>
      <w:r w:rsidR="00530F3A">
        <w:rPr>
          <w:rFonts w:ascii="Arial" w:hAnsi="Arial" w:cs="Arial"/>
        </w:rPr>
        <w:t xml:space="preserve"> 2014 £8</w:t>
      </w:r>
      <w:r w:rsidR="001C68C2">
        <w:rPr>
          <w:rFonts w:ascii="Arial" w:hAnsi="Arial" w:cs="Arial"/>
        </w:rPr>
        <w:t>24,718,</w:t>
      </w:r>
      <w:r w:rsidR="00530F3A">
        <w:rPr>
          <w:rFonts w:ascii="Arial" w:hAnsi="Arial" w:cs="Arial"/>
        </w:rPr>
        <w:t xml:space="preserve"> 2015 £8</w:t>
      </w:r>
      <w:r w:rsidR="001C68C2">
        <w:rPr>
          <w:rFonts w:ascii="Arial" w:hAnsi="Arial" w:cs="Arial"/>
        </w:rPr>
        <w:t>34,783</w:t>
      </w:r>
      <w:r w:rsidR="00530F3A">
        <w:rPr>
          <w:rFonts w:ascii="Arial" w:hAnsi="Arial" w:cs="Arial"/>
        </w:rPr>
        <w:t>,</w:t>
      </w:r>
      <w:r w:rsidR="001C68C2">
        <w:rPr>
          <w:rFonts w:ascii="Arial" w:hAnsi="Arial" w:cs="Arial"/>
        </w:rPr>
        <w:t xml:space="preserve"> 2016 £</w:t>
      </w:r>
      <w:r w:rsidR="00AD058D">
        <w:rPr>
          <w:rFonts w:ascii="Arial" w:hAnsi="Arial" w:cs="Arial"/>
        </w:rPr>
        <w:t>878,739</w:t>
      </w:r>
      <w:r w:rsidR="00530F3A">
        <w:rPr>
          <w:rFonts w:ascii="Arial" w:hAnsi="Arial" w:cs="Arial"/>
        </w:rPr>
        <w:t xml:space="preserve"> rising to £</w:t>
      </w:r>
      <w:r w:rsidR="00A376E4">
        <w:rPr>
          <w:rFonts w:ascii="Arial" w:hAnsi="Arial" w:cs="Arial"/>
        </w:rPr>
        <w:t>92</w:t>
      </w:r>
      <w:r w:rsidR="001C68C2">
        <w:rPr>
          <w:rFonts w:ascii="Arial" w:hAnsi="Arial" w:cs="Arial"/>
        </w:rPr>
        <w:t>7</w:t>
      </w:r>
      <w:r w:rsidR="00A376E4">
        <w:rPr>
          <w:rFonts w:ascii="Arial" w:hAnsi="Arial" w:cs="Arial"/>
        </w:rPr>
        <w:t>,</w:t>
      </w:r>
      <w:r w:rsidR="00AD058D">
        <w:rPr>
          <w:rFonts w:ascii="Arial" w:hAnsi="Arial" w:cs="Arial"/>
        </w:rPr>
        <w:t>774</w:t>
      </w:r>
      <w:r w:rsidR="00A376E4">
        <w:rPr>
          <w:rFonts w:ascii="Arial" w:hAnsi="Arial" w:cs="Arial"/>
        </w:rPr>
        <w:t xml:space="preserve"> for</w:t>
      </w:r>
      <w:r w:rsidR="00530F3A">
        <w:rPr>
          <w:rFonts w:ascii="Arial" w:hAnsi="Arial" w:cs="Arial"/>
        </w:rPr>
        <w:t xml:space="preserve"> 2016/17.  The reason for this</w:t>
      </w:r>
      <w:r w:rsidR="00F13DD3">
        <w:rPr>
          <w:rFonts w:ascii="Arial" w:hAnsi="Arial" w:cs="Arial"/>
        </w:rPr>
        <w:t>,</w:t>
      </w:r>
      <w:r w:rsidR="00530F3A">
        <w:rPr>
          <w:rFonts w:ascii="Arial" w:hAnsi="Arial" w:cs="Arial"/>
        </w:rPr>
        <w:t xml:space="preserve"> is </w:t>
      </w:r>
      <w:r w:rsidR="00F13DD3">
        <w:rPr>
          <w:rFonts w:ascii="Arial" w:hAnsi="Arial" w:cs="Arial"/>
        </w:rPr>
        <w:t>an increase in management, service charge</w:t>
      </w:r>
      <w:r w:rsidR="00FC58C2">
        <w:rPr>
          <w:rFonts w:ascii="Arial" w:hAnsi="Arial" w:cs="Arial"/>
        </w:rPr>
        <w:t xml:space="preserve"> and planned maintenance</w:t>
      </w:r>
      <w:r w:rsidR="00F13DD3">
        <w:rPr>
          <w:rFonts w:ascii="Arial" w:hAnsi="Arial" w:cs="Arial"/>
        </w:rPr>
        <w:t xml:space="preserve"> costs</w:t>
      </w:r>
      <w:r w:rsidR="00FC58C2">
        <w:rPr>
          <w:rFonts w:ascii="Arial" w:hAnsi="Arial" w:cs="Arial"/>
        </w:rPr>
        <w:t xml:space="preserve">.  Management costs have increased due to increase in pension costs as a result of </w:t>
      </w:r>
      <w:r w:rsidR="00FC58C2">
        <w:rPr>
          <w:rFonts w:ascii="Arial" w:hAnsi="Arial" w:cs="Arial"/>
        </w:rPr>
        <w:lastRenderedPageBreak/>
        <w:t>auto-enrolment, service charge costs increased due to increase in depreciation</w:t>
      </w:r>
      <w:r w:rsidR="005B2C51">
        <w:rPr>
          <w:rFonts w:ascii="Arial" w:hAnsi="Arial" w:cs="Arial"/>
        </w:rPr>
        <w:t xml:space="preserve">, there is also a slight increase in </w:t>
      </w:r>
      <w:r w:rsidR="00FC58C2">
        <w:rPr>
          <w:rFonts w:ascii="Arial" w:hAnsi="Arial" w:cs="Arial"/>
        </w:rPr>
        <w:t>planned maintenance</w:t>
      </w:r>
      <w:r w:rsidR="005B2C51">
        <w:rPr>
          <w:rFonts w:ascii="Arial" w:hAnsi="Arial" w:cs="Arial"/>
        </w:rPr>
        <w:t xml:space="preserve"> costs</w:t>
      </w:r>
      <w:r w:rsidR="00FC58C2">
        <w:rPr>
          <w:rFonts w:ascii="Arial" w:hAnsi="Arial" w:cs="Arial"/>
        </w:rPr>
        <w:t>.</w:t>
      </w:r>
    </w:p>
    <w:p w:rsidR="00477A68" w:rsidRDefault="00477A68" w:rsidP="003F2CC6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766"/>
        <w:gridCol w:w="1219"/>
        <w:gridCol w:w="1317"/>
        <w:gridCol w:w="951"/>
        <w:gridCol w:w="1428"/>
        <w:gridCol w:w="1265"/>
        <w:gridCol w:w="1559"/>
      </w:tblGrid>
      <w:tr w:rsidR="003368C8" w:rsidTr="00355005">
        <w:tc>
          <w:tcPr>
            <w:tcW w:w="9639" w:type="dxa"/>
            <w:gridSpan w:val="8"/>
          </w:tcPr>
          <w:p w:rsidR="003368C8" w:rsidRPr="00A10D91" w:rsidRDefault="003368C8" w:rsidP="00F13DD3">
            <w:pPr>
              <w:jc w:val="center"/>
              <w:rPr>
                <w:rFonts w:ascii="Arial" w:hAnsi="Arial" w:cs="Arial"/>
                <w:b/>
              </w:rPr>
            </w:pPr>
            <w:r w:rsidRPr="00A10D91">
              <w:rPr>
                <w:rFonts w:ascii="Arial" w:hAnsi="Arial" w:cs="Arial"/>
                <w:b/>
              </w:rPr>
              <w:t>Operating Cost Analysis – Cost Per Unit</w:t>
            </w:r>
            <w:r>
              <w:rPr>
                <w:rFonts w:ascii="Arial" w:hAnsi="Arial" w:cs="Arial"/>
                <w:b/>
              </w:rPr>
              <w:t xml:space="preserve"> (CPU)</w:t>
            </w:r>
          </w:p>
          <w:p w:rsidR="003368C8" w:rsidRPr="00A10D91" w:rsidRDefault="003368C8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10D91" w:rsidTr="00A10D91">
        <w:tc>
          <w:tcPr>
            <w:tcW w:w="1134" w:type="dxa"/>
          </w:tcPr>
          <w:p w:rsidR="000E4077" w:rsidRDefault="000E4077" w:rsidP="003F2CC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0E4077" w:rsidRPr="000E4077" w:rsidRDefault="000E4077" w:rsidP="003F2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077">
              <w:rPr>
                <w:rFonts w:ascii="Arial" w:hAnsi="Arial" w:cs="Arial"/>
                <w:b/>
                <w:sz w:val="22"/>
                <w:szCs w:val="22"/>
              </w:rPr>
              <w:t>Units</w:t>
            </w:r>
          </w:p>
        </w:tc>
        <w:tc>
          <w:tcPr>
            <w:tcW w:w="1219" w:type="dxa"/>
          </w:tcPr>
          <w:p w:rsidR="000E4077" w:rsidRPr="000E4077" w:rsidRDefault="000E4077" w:rsidP="003F2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077">
              <w:rPr>
                <w:rFonts w:ascii="Arial" w:hAnsi="Arial" w:cs="Arial"/>
                <w:b/>
                <w:sz w:val="22"/>
                <w:szCs w:val="22"/>
              </w:rPr>
              <w:t>Headline</w:t>
            </w:r>
          </w:p>
          <w:p w:rsidR="000E4077" w:rsidRPr="000E4077" w:rsidRDefault="000E4077" w:rsidP="003F2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077">
              <w:rPr>
                <w:rFonts w:ascii="Arial" w:hAnsi="Arial" w:cs="Arial"/>
                <w:b/>
                <w:sz w:val="22"/>
                <w:szCs w:val="22"/>
              </w:rPr>
              <w:t>social Housing costs</w:t>
            </w:r>
            <w:r w:rsidR="00A10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0E4077" w:rsidRPr="00A10D91" w:rsidRDefault="00A10D91" w:rsidP="003F2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D91">
              <w:rPr>
                <w:rFonts w:ascii="Arial" w:hAnsi="Arial" w:cs="Arial"/>
                <w:b/>
                <w:sz w:val="18"/>
                <w:szCs w:val="18"/>
              </w:rPr>
              <w:t>Management</w:t>
            </w:r>
          </w:p>
          <w:p w:rsidR="00A10D91" w:rsidRP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951" w:type="dxa"/>
          </w:tcPr>
          <w:p w:rsidR="000E4077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Service Charge</w:t>
            </w:r>
          </w:p>
          <w:p w:rsidR="00A10D91" w:rsidRP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1428" w:type="dxa"/>
          </w:tcPr>
          <w:p w:rsidR="000E4077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</w:p>
          <w:p w:rsidR="00A10D91" w:rsidRP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1265" w:type="dxa"/>
          </w:tcPr>
          <w:p w:rsidR="000E4077" w:rsidRP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  <w:p w:rsid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Repairs</w:t>
            </w:r>
          </w:p>
          <w:p w:rsidR="00A10D91" w:rsidRDefault="00A10D91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1559" w:type="dxa"/>
          </w:tcPr>
          <w:p w:rsidR="00A10D91" w:rsidRPr="00A10D91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Other Social</w:t>
            </w:r>
          </w:p>
          <w:p w:rsidR="000E4077" w:rsidRDefault="00A10D91" w:rsidP="003F2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91">
              <w:rPr>
                <w:rFonts w:ascii="Arial" w:hAnsi="Arial" w:cs="Arial"/>
                <w:b/>
                <w:sz w:val="20"/>
                <w:szCs w:val="20"/>
              </w:rPr>
              <w:t>Housing Cost</w:t>
            </w:r>
          </w:p>
          <w:p w:rsidR="00A10D91" w:rsidRDefault="00A10D91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</w:tr>
      <w:tr w:rsidR="00A10D91" w:rsidTr="00A10D91">
        <w:tc>
          <w:tcPr>
            <w:tcW w:w="1134" w:type="dxa"/>
          </w:tcPr>
          <w:p w:rsidR="000E4077" w:rsidRPr="000E4077" w:rsidRDefault="000E4077" w:rsidP="003F2CC6">
            <w:pPr>
              <w:rPr>
                <w:rFonts w:ascii="Arial" w:hAnsi="Arial" w:cs="Arial"/>
                <w:b/>
              </w:rPr>
            </w:pPr>
            <w:r w:rsidRPr="000E4077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766" w:type="dxa"/>
          </w:tcPr>
          <w:p w:rsidR="000E4077" w:rsidRDefault="000E4077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219" w:type="dxa"/>
          </w:tcPr>
          <w:p w:rsidR="000E4077" w:rsidRDefault="000E4077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£3,115</w:t>
            </w:r>
          </w:p>
        </w:tc>
        <w:tc>
          <w:tcPr>
            <w:tcW w:w="1317" w:type="dxa"/>
          </w:tcPr>
          <w:p w:rsidR="000E4077" w:rsidRDefault="00A10D91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£1,561</w:t>
            </w:r>
          </w:p>
        </w:tc>
        <w:tc>
          <w:tcPr>
            <w:tcW w:w="951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607</w:t>
            </w:r>
          </w:p>
        </w:tc>
        <w:tc>
          <w:tcPr>
            <w:tcW w:w="1428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751</w:t>
            </w:r>
          </w:p>
        </w:tc>
        <w:tc>
          <w:tcPr>
            <w:tcW w:w="1265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183</w:t>
            </w:r>
          </w:p>
        </w:tc>
        <w:tc>
          <w:tcPr>
            <w:tcW w:w="1559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13</w:t>
            </w:r>
          </w:p>
        </w:tc>
      </w:tr>
      <w:tr w:rsidR="00A10D91" w:rsidTr="00A10D91">
        <w:tc>
          <w:tcPr>
            <w:tcW w:w="1134" w:type="dxa"/>
          </w:tcPr>
          <w:p w:rsidR="000E4077" w:rsidRPr="000E4077" w:rsidRDefault="000E4077" w:rsidP="003F2CC6">
            <w:pPr>
              <w:rPr>
                <w:rFonts w:ascii="Arial" w:hAnsi="Arial" w:cs="Arial"/>
                <w:b/>
              </w:rPr>
            </w:pPr>
            <w:r w:rsidRPr="000E4077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766" w:type="dxa"/>
          </w:tcPr>
          <w:p w:rsidR="000E4077" w:rsidRDefault="000E4077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219" w:type="dxa"/>
          </w:tcPr>
          <w:p w:rsidR="000E4077" w:rsidRDefault="007F3B7B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£3,291</w:t>
            </w:r>
          </w:p>
        </w:tc>
        <w:tc>
          <w:tcPr>
            <w:tcW w:w="1317" w:type="dxa"/>
          </w:tcPr>
          <w:p w:rsidR="000E4077" w:rsidRDefault="007F3B7B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£1,609</w:t>
            </w:r>
          </w:p>
        </w:tc>
        <w:tc>
          <w:tcPr>
            <w:tcW w:w="951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537</w:t>
            </w:r>
          </w:p>
        </w:tc>
        <w:tc>
          <w:tcPr>
            <w:tcW w:w="1428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806</w:t>
            </w:r>
          </w:p>
        </w:tc>
        <w:tc>
          <w:tcPr>
            <w:tcW w:w="1265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321</w:t>
            </w:r>
          </w:p>
        </w:tc>
        <w:tc>
          <w:tcPr>
            <w:tcW w:w="1559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19</w:t>
            </w:r>
          </w:p>
        </w:tc>
      </w:tr>
      <w:tr w:rsidR="00A10D91" w:rsidTr="00A10D91">
        <w:tc>
          <w:tcPr>
            <w:tcW w:w="1134" w:type="dxa"/>
          </w:tcPr>
          <w:p w:rsidR="000E4077" w:rsidRPr="000E4077" w:rsidRDefault="000E4077" w:rsidP="003F2CC6">
            <w:pPr>
              <w:rPr>
                <w:rFonts w:ascii="Arial" w:hAnsi="Arial" w:cs="Arial"/>
                <w:b/>
              </w:rPr>
            </w:pPr>
            <w:r w:rsidRPr="000E4077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766" w:type="dxa"/>
          </w:tcPr>
          <w:p w:rsidR="000E4077" w:rsidRDefault="000E4077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219" w:type="dxa"/>
          </w:tcPr>
          <w:p w:rsidR="000E4077" w:rsidRDefault="007F3B7B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£3,475</w:t>
            </w:r>
          </w:p>
        </w:tc>
        <w:tc>
          <w:tcPr>
            <w:tcW w:w="1317" w:type="dxa"/>
          </w:tcPr>
          <w:p w:rsidR="000E4077" w:rsidRDefault="007F3B7B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£1,696</w:t>
            </w:r>
          </w:p>
        </w:tc>
        <w:tc>
          <w:tcPr>
            <w:tcW w:w="951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638</w:t>
            </w:r>
          </w:p>
        </w:tc>
        <w:tc>
          <w:tcPr>
            <w:tcW w:w="1428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727</w:t>
            </w:r>
          </w:p>
        </w:tc>
        <w:tc>
          <w:tcPr>
            <w:tcW w:w="1265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418</w:t>
            </w:r>
          </w:p>
        </w:tc>
        <w:tc>
          <w:tcPr>
            <w:tcW w:w="1559" w:type="dxa"/>
          </w:tcPr>
          <w:p w:rsidR="000E4077" w:rsidRDefault="001C68C2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10D91">
              <w:rPr>
                <w:rFonts w:ascii="Arial" w:hAnsi="Arial" w:cs="Arial"/>
              </w:rPr>
              <w:t>-3</w:t>
            </w:r>
          </w:p>
        </w:tc>
      </w:tr>
    </w:tbl>
    <w:p w:rsidR="00530F3A" w:rsidRDefault="00530F3A" w:rsidP="003F2CC6">
      <w:pPr>
        <w:rPr>
          <w:rFonts w:ascii="Arial" w:hAnsi="Arial" w:cs="Arial"/>
        </w:rPr>
      </w:pPr>
    </w:p>
    <w:p w:rsidR="00530F3A" w:rsidRDefault="00530F3A" w:rsidP="003F2CC6">
      <w:pPr>
        <w:rPr>
          <w:rFonts w:ascii="Arial" w:hAnsi="Arial" w:cs="Arial"/>
        </w:rPr>
      </w:pPr>
    </w:p>
    <w:p w:rsidR="00530F3A" w:rsidRDefault="00CE3E07" w:rsidP="003F2CC6">
      <w:pPr>
        <w:rPr>
          <w:rFonts w:ascii="Arial" w:hAnsi="Arial" w:cs="Arial"/>
        </w:rPr>
      </w:pPr>
      <w:r w:rsidRPr="00C938D9">
        <w:rPr>
          <w:rFonts w:ascii="Arial" w:hAnsi="Arial" w:cs="Arial"/>
        </w:rPr>
        <w:t xml:space="preserve">Our </w:t>
      </w:r>
      <w:r w:rsidR="00C938D9">
        <w:rPr>
          <w:rFonts w:ascii="Arial" w:hAnsi="Arial" w:cs="Arial"/>
        </w:rPr>
        <w:t>r</w:t>
      </w:r>
      <w:r w:rsidRPr="00C938D9">
        <w:rPr>
          <w:rFonts w:ascii="Arial" w:hAnsi="Arial" w:cs="Arial"/>
        </w:rPr>
        <w:t xml:space="preserve">ent </w:t>
      </w:r>
      <w:r w:rsidR="00C938D9">
        <w:rPr>
          <w:rFonts w:ascii="Arial" w:hAnsi="Arial" w:cs="Arial"/>
        </w:rPr>
        <w:t>and service charge c</w:t>
      </w:r>
      <w:r w:rsidRPr="00C938D9">
        <w:rPr>
          <w:rFonts w:ascii="Arial" w:hAnsi="Arial" w:cs="Arial"/>
        </w:rPr>
        <w:t xml:space="preserve">ollection rates </w:t>
      </w:r>
      <w:r w:rsidR="00751125">
        <w:rPr>
          <w:rFonts w:ascii="Arial" w:hAnsi="Arial" w:cs="Arial"/>
        </w:rPr>
        <w:t>are as follows:</w:t>
      </w:r>
    </w:p>
    <w:p w:rsidR="00530F3A" w:rsidRDefault="00530F3A" w:rsidP="003F2CC6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315"/>
        <w:gridCol w:w="1513"/>
        <w:gridCol w:w="1460"/>
        <w:gridCol w:w="1418"/>
        <w:gridCol w:w="1418"/>
        <w:gridCol w:w="1515"/>
      </w:tblGrid>
      <w:tr w:rsidR="00C962D3" w:rsidRPr="00530F3A" w:rsidTr="006D3E1F">
        <w:tc>
          <w:tcPr>
            <w:tcW w:w="9639" w:type="dxa"/>
            <w:gridSpan w:val="6"/>
          </w:tcPr>
          <w:p w:rsidR="00C962D3" w:rsidRPr="00530F3A" w:rsidRDefault="00C962D3" w:rsidP="00751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 and Service Charge Gross collection</w:t>
            </w:r>
          </w:p>
        </w:tc>
      </w:tr>
      <w:tr w:rsidR="00C962D3" w:rsidRPr="00530F3A" w:rsidTr="00C962D3">
        <w:tc>
          <w:tcPr>
            <w:tcW w:w="2315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  <w:r w:rsidRPr="00530F3A">
              <w:rPr>
                <w:rFonts w:ascii="Arial" w:hAnsi="Arial" w:cs="Arial"/>
                <w:b/>
              </w:rPr>
              <w:t>12/13</w:t>
            </w:r>
          </w:p>
        </w:tc>
        <w:tc>
          <w:tcPr>
            <w:tcW w:w="1460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  <w:r w:rsidRPr="00530F3A">
              <w:rPr>
                <w:rFonts w:ascii="Arial" w:hAnsi="Arial" w:cs="Arial"/>
                <w:b/>
              </w:rPr>
              <w:t>13/14</w:t>
            </w:r>
          </w:p>
        </w:tc>
        <w:tc>
          <w:tcPr>
            <w:tcW w:w="1418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  <w:r w:rsidRPr="00530F3A">
              <w:rPr>
                <w:rFonts w:ascii="Arial" w:hAnsi="Arial" w:cs="Arial"/>
                <w:b/>
              </w:rPr>
              <w:t>14/15</w:t>
            </w:r>
          </w:p>
        </w:tc>
        <w:tc>
          <w:tcPr>
            <w:tcW w:w="1418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  <w:r w:rsidRPr="00530F3A">
              <w:rPr>
                <w:rFonts w:ascii="Arial" w:hAnsi="Arial" w:cs="Arial"/>
                <w:b/>
              </w:rPr>
              <w:t>15/16</w:t>
            </w:r>
          </w:p>
        </w:tc>
        <w:tc>
          <w:tcPr>
            <w:tcW w:w="1515" w:type="dxa"/>
          </w:tcPr>
          <w:p w:rsidR="00C962D3" w:rsidRPr="00530F3A" w:rsidRDefault="00C962D3" w:rsidP="003F2CC6">
            <w:pPr>
              <w:rPr>
                <w:rFonts w:ascii="Arial" w:hAnsi="Arial" w:cs="Arial"/>
                <w:b/>
              </w:rPr>
            </w:pPr>
            <w:r w:rsidRPr="00530F3A">
              <w:rPr>
                <w:rFonts w:ascii="Arial" w:hAnsi="Arial" w:cs="Arial"/>
                <w:b/>
              </w:rPr>
              <w:t>16/17</w:t>
            </w:r>
          </w:p>
        </w:tc>
      </w:tr>
      <w:tr w:rsidR="00C962D3" w:rsidTr="00C962D3">
        <w:trPr>
          <w:trHeight w:val="70"/>
        </w:trPr>
        <w:tc>
          <w:tcPr>
            <w:tcW w:w="2315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Collected</w:t>
            </w:r>
          </w:p>
        </w:tc>
        <w:tc>
          <w:tcPr>
            <w:tcW w:w="1513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£1,170,548</w:t>
            </w:r>
          </w:p>
        </w:tc>
        <w:tc>
          <w:tcPr>
            <w:tcW w:w="1460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£1,229,174</w:t>
            </w:r>
          </w:p>
        </w:tc>
        <w:tc>
          <w:tcPr>
            <w:tcW w:w="1418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£1,267,487</w:t>
            </w:r>
          </w:p>
        </w:tc>
        <w:tc>
          <w:tcPr>
            <w:tcW w:w="1418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£1,340,565</w:t>
            </w:r>
          </w:p>
        </w:tc>
        <w:tc>
          <w:tcPr>
            <w:tcW w:w="1515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£1,352,496</w:t>
            </w:r>
          </w:p>
        </w:tc>
      </w:tr>
      <w:tr w:rsidR="00C962D3" w:rsidTr="00C962D3">
        <w:tc>
          <w:tcPr>
            <w:tcW w:w="2315" w:type="dxa"/>
          </w:tcPr>
          <w:p w:rsidR="00C962D3" w:rsidRDefault="00C962D3" w:rsidP="00C9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collected %</w:t>
            </w:r>
          </w:p>
        </w:tc>
        <w:tc>
          <w:tcPr>
            <w:tcW w:w="1513" w:type="dxa"/>
          </w:tcPr>
          <w:p w:rsidR="00C962D3" w:rsidRDefault="00C962D3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99.4%</w:t>
            </w:r>
          </w:p>
        </w:tc>
        <w:tc>
          <w:tcPr>
            <w:tcW w:w="1460" w:type="dxa"/>
          </w:tcPr>
          <w:p w:rsidR="00C962D3" w:rsidRDefault="00C962D3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98.5%</w:t>
            </w:r>
          </w:p>
        </w:tc>
        <w:tc>
          <w:tcPr>
            <w:tcW w:w="1418" w:type="dxa"/>
          </w:tcPr>
          <w:p w:rsidR="00C962D3" w:rsidRDefault="00C962D3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99.0%</w:t>
            </w:r>
          </w:p>
        </w:tc>
        <w:tc>
          <w:tcPr>
            <w:tcW w:w="1418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102.7%</w:t>
            </w:r>
          </w:p>
        </w:tc>
        <w:tc>
          <w:tcPr>
            <w:tcW w:w="1515" w:type="dxa"/>
          </w:tcPr>
          <w:p w:rsidR="00C962D3" w:rsidRDefault="00C962D3" w:rsidP="003F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101.3%</w:t>
            </w:r>
          </w:p>
        </w:tc>
      </w:tr>
    </w:tbl>
    <w:p w:rsidR="00530F3A" w:rsidRDefault="00530F3A" w:rsidP="003F2CC6">
      <w:pPr>
        <w:rPr>
          <w:rFonts w:ascii="Arial" w:hAnsi="Arial" w:cs="Arial"/>
        </w:rPr>
      </w:pPr>
    </w:p>
    <w:p w:rsidR="00530F3A" w:rsidRDefault="00530F3A" w:rsidP="003F2CC6">
      <w:pPr>
        <w:rPr>
          <w:rFonts w:ascii="Arial" w:hAnsi="Arial" w:cs="Arial"/>
        </w:rPr>
      </w:pPr>
    </w:p>
    <w:p w:rsidR="008049AE" w:rsidRDefault="008049AE" w:rsidP="003F2CC6">
      <w:pPr>
        <w:rPr>
          <w:rFonts w:ascii="Arial" w:hAnsi="Arial" w:cs="Arial"/>
        </w:rPr>
      </w:pPr>
      <w:r>
        <w:rPr>
          <w:rFonts w:ascii="Arial" w:hAnsi="Arial" w:cs="Arial"/>
        </w:rPr>
        <w:t>SBHA</w:t>
      </w:r>
      <w:r w:rsidR="003F2CC6" w:rsidRPr="003F2CC6">
        <w:rPr>
          <w:rFonts w:ascii="Arial" w:hAnsi="Arial" w:cs="Arial"/>
        </w:rPr>
        <w:t xml:space="preserve"> operates appropriate quote and tendering procedures </w:t>
      </w:r>
      <w:r w:rsidR="000C7FB9">
        <w:rPr>
          <w:rFonts w:ascii="Arial" w:hAnsi="Arial" w:cs="Arial"/>
        </w:rPr>
        <w:t xml:space="preserve">in line with our financial regulations </w:t>
      </w:r>
      <w:r w:rsidR="003F2CC6" w:rsidRPr="003F2CC6">
        <w:rPr>
          <w:rFonts w:ascii="Arial" w:hAnsi="Arial" w:cs="Arial"/>
        </w:rPr>
        <w:t xml:space="preserve">and the Board of </w:t>
      </w:r>
      <w:r w:rsidR="00C938D9">
        <w:rPr>
          <w:rFonts w:ascii="Arial" w:hAnsi="Arial" w:cs="Arial"/>
        </w:rPr>
        <w:t>M</w:t>
      </w:r>
      <w:r w:rsidR="003F2CC6" w:rsidRPr="003F2CC6">
        <w:rPr>
          <w:rFonts w:ascii="Arial" w:hAnsi="Arial" w:cs="Arial"/>
        </w:rPr>
        <w:t>anagement strictly monitors income and expenditure on a regular and timely basis to ensure the Association operates within the constraints of its approved annual budge</w:t>
      </w:r>
      <w:r w:rsidR="000C7FB9">
        <w:rPr>
          <w:rFonts w:ascii="Arial" w:hAnsi="Arial" w:cs="Arial"/>
        </w:rPr>
        <w:t xml:space="preserve">t. The Board of Management </w:t>
      </w:r>
      <w:r w:rsidR="003F2CC6" w:rsidRPr="003F2CC6">
        <w:rPr>
          <w:rFonts w:ascii="Arial" w:hAnsi="Arial" w:cs="Arial"/>
        </w:rPr>
        <w:t xml:space="preserve">includes </w:t>
      </w:r>
      <w:r w:rsidR="00C938D9">
        <w:rPr>
          <w:rFonts w:ascii="Arial" w:hAnsi="Arial" w:cs="Arial"/>
        </w:rPr>
        <w:t>t</w:t>
      </w:r>
      <w:r w:rsidR="000C7FB9">
        <w:rPr>
          <w:rFonts w:ascii="Arial" w:hAnsi="Arial" w:cs="Arial"/>
        </w:rPr>
        <w:t>enants</w:t>
      </w:r>
      <w:r w:rsidR="003F2CC6" w:rsidRPr="003F2CC6">
        <w:rPr>
          <w:rFonts w:ascii="Arial" w:hAnsi="Arial" w:cs="Arial"/>
        </w:rPr>
        <w:t xml:space="preserve">, ensuring customer scrutiny at </w:t>
      </w:r>
      <w:r w:rsidR="00C938D9">
        <w:rPr>
          <w:rFonts w:ascii="Arial" w:hAnsi="Arial" w:cs="Arial"/>
        </w:rPr>
        <w:t xml:space="preserve">a </w:t>
      </w:r>
      <w:r w:rsidR="003F2CC6" w:rsidRPr="003F2CC6">
        <w:rPr>
          <w:rFonts w:ascii="Arial" w:hAnsi="Arial" w:cs="Arial"/>
        </w:rPr>
        <w:t>key decision making level.</w:t>
      </w:r>
      <w:r w:rsidR="00666D07">
        <w:rPr>
          <w:rFonts w:ascii="Arial" w:hAnsi="Arial" w:cs="Arial"/>
        </w:rPr>
        <w:t xml:space="preserve"> </w:t>
      </w:r>
    </w:p>
    <w:p w:rsidR="008049AE" w:rsidRDefault="008049AE" w:rsidP="003F2CC6">
      <w:pPr>
        <w:rPr>
          <w:rFonts w:ascii="Arial" w:hAnsi="Arial" w:cs="Arial"/>
        </w:rPr>
      </w:pPr>
    </w:p>
    <w:p w:rsidR="008049AE" w:rsidRDefault="00666D07" w:rsidP="003F2CC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2CC6" w:rsidRPr="003F2CC6">
        <w:rPr>
          <w:rFonts w:ascii="Arial" w:hAnsi="Arial" w:cs="Arial"/>
        </w:rPr>
        <w:t>he Association recently up</w:t>
      </w:r>
      <w:r w:rsidR="001F6547">
        <w:rPr>
          <w:rFonts w:ascii="Arial" w:hAnsi="Arial" w:cs="Arial"/>
        </w:rPr>
        <w:t>dated its stock condition information</w:t>
      </w:r>
      <w:r w:rsidR="003F2CC6" w:rsidRPr="003F2CC6">
        <w:rPr>
          <w:rFonts w:ascii="Arial" w:hAnsi="Arial" w:cs="Arial"/>
        </w:rPr>
        <w:t xml:space="preserve"> producing an updated future stock reinvestment programme to facilitate the proactive delivery of larger programmes of work over a longer period. The procurement of larger works contracts will lead to greater economies of sca</w:t>
      </w:r>
      <w:r w:rsidR="008049AE">
        <w:rPr>
          <w:rFonts w:ascii="Arial" w:hAnsi="Arial" w:cs="Arial"/>
        </w:rPr>
        <w:t>le and improved value for money.</w:t>
      </w:r>
    </w:p>
    <w:p w:rsidR="00234E61" w:rsidRDefault="008049AE" w:rsidP="003F2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 following a tender exercise the Association has invested over £120,000 in replacing </w:t>
      </w:r>
      <w:r w:rsidR="00CC5108">
        <w:rPr>
          <w:rFonts w:ascii="Arial" w:hAnsi="Arial" w:cs="Arial"/>
        </w:rPr>
        <w:t>k</w:t>
      </w:r>
      <w:r>
        <w:rPr>
          <w:rFonts w:ascii="Arial" w:hAnsi="Arial" w:cs="Arial"/>
        </w:rPr>
        <w:t>itchens at Hector Peterson Court</w:t>
      </w:r>
      <w:r w:rsidR="00A801D1">
        <w:rPr>
          <w:rFonts w:ascii="Arial" w:hAnsi="Arial" w:cs="Arial"/>
        </w:rPr>
        <w:t xml:space="preserve"> for the year 2013/14, </w:t>
      </w:r>
      <w:r w:rsidR="00144699">
        <w:rPr>
          <w:rFonts w:ascii="Arial" w:hAnsi="Arial" w:cs="Arial"/>
        </w:rPr>
        <w:t>£132,541 to replace and upgrade</w:t>
      </w:r>
      <w:r w:rsidR="00A801D1">
        <w:rPr>
          <w:rFonts w:ascii="Arial" w:hAnsi="Arial" w:cs="Arial"/>
        </w:rPr>
        <w:t xml:space="preserve"> Bathrooms in 14/15 and </w:t>
      </w:r>
      <w:r w:rsidR="000C7FB9">
        <w:rPr>
          <w:rFonts w:ascii="Arial" w:hAnsi="Arial" w:cs="Arial"/>
        </w:rPr>
        <w:t xml:space="preserve">15/16 </w:t>
      </w:r>
      <w:r w:rsidR="00A801D1">
        <w:rPr>
          <w:rFonts w:ascii="Arial" w:hAnsi="Arial" w:cs="Arial"/>
        </w:rPr>
        <w:t xml:space="preserve">replacement windows and doors </w:t>
      </w:r>
      <w:r w:rsidR="000C7FB9">
        <w:rPr>
          <w:rFonts w:ascii="Arial" w:hAnsi="Arial" w:cs="Arial"/>
        </w:rPr>
        <w:t xml:space="preserve">programme </w:t>
      </w:r>
      <w:r w:rsidR="002622F4">
        <w:rPr>
          <w:rFonts w:ascii="Arial" w:hAnsi="Arial" w:cs="Arial"/>
        </w:rPr>
        <w:t>tot</w:t>
      </w:r>
      <w:r w:rsidR="00751125">
        <w:rPr>
          <w:rFonts w:ascii="Arial" w:hAnsi="Arial" w:cs="Arial"/>
        </w:rPr>
        <w:t xml:space="preserve">alling £142,717, and 2016/17 window replacement programme totalling £153,428. </w:t>
      </w:r>
    </w:p>
    <w:p w:rsidR="005068EE" w:rsidRDefault="005068EE" w:rsidP="003F2CC6">
      <w:pPr>
        <w:rPr>
          <w:rFonts w:ascii="Arial" w:hAnsi="Arial" w:cs="Arial"/>
        </w:rPr>
      </w:pPr>
    </w:p>
    <w:p w:rsidR="00414AC4" w:rsidRPr="00FC58C2" w:rsidRDefault="00AA1FAC" w:rsidP="003F2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seen inflationary pressures on utility costs like the rest of the sector. </w:t>
      </w:r>
      <w:r w:rsidR="005068EE">
        <w:rPr>
          <w:rFonts w:ascii="Arial" w:hAnsi="Arial" w:cs="Arial"/>
        </w:rPr>
        <w:t>A</w:t>
      </w:r>
      <w:r w:rsidR="00414AC4">
        <w:rPr>
          <w:rFonts w:ascii="Arial" w:hAnsi="Arial" w:cs="Arial"/>
        </w:rPr>
        <w:t xml:space="preserve">s a result of carrying out a review of utility service providers we have entered into a fixed </w:t>
      </w:r>
      <w:r w:rsidR="00414AC4" w:rsidRPr="00FC58C2">
        <w:rPr>
          <w:rFonts w:ascii="Arial" w:hAnsi="Arial" w:cs="Arial"/>
        </w:rPr>
        <w:t>contract to reduce</w:t>
      </w:r>
      <w:r w:rsidR="005068EE" w:rsidRPr="00FC58C2">
        <w:rPr>
          <w:rFonts w:ascii="Arial" w:hAnsi="Arial" w:cs="Arial"/>
        </w:rPr>
        <w:t xml:space="preserve"> </w:t>
      </w:r>
      <w:r w:rsidR="00414AC4" w:rsidRPr="00FC58C2">
        <w:rPr>
          <w:rFonts w:ascii="Arial" w:hAnsi="Arial" w:cs="Arial"/>
        </w:rPr>
        <w:t xml:space="preserve">costs for our tenants.  </w:t>
      </w:r>
      <w:r w:rsidR="00751125" w:rsidRPr="00FC58C2">
        <w:rPr>
          <w:rFonts w:ascii="Arial" w:hAnsi="Arial" w:cs="Arial"/>
        </w:rPr>
        <w:t>We estimate that we have made a saving of £</w:t>
      </w:r>
      <w:r w:rsidR="00FC58C2">
        <w:rPr>
          <w:rFonts w:ascii="Arial" w:hAnsi="Arial" w:cs="Arial"/>
        </w:rPr>
        <w:t>13,000.</w:t>
      </w:r>
    </w:p>
    <w:p w:rsidR="005068EE" w:rsidRDefault="005068EE" w:rsidP="003F2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4AC4" w:rsidRDefault="003F2CC6" w:rsidP="003F2CC6">
      <w:pPr>
        <w:rPr>
          <w:rFonts w:ascii="Arial" w:hAnsi="Arial" w:cs="Arial"/>
        </w:rPr>
      </w:pPr>
      <w:r w:rsidRPr="003F2CC6">
        <w:rPr>
          <w:rFonts w:ascii="Arial" w:hAnsi="Arial" w:cs="Arial"/>
        </w:rPr>
        <w:t>In addition, the Association is also</w:t>
      </w:r>
      <w:r w:rsidR="0061200B">
        <w:rPr>
          <w:rFonts w:ascii="Arial" w:hAnsi="Arial" w:cs="Arial"/>
        </w:rPr>
        <w:t xml:space="preserve"> a</w:t>
      </w:r>
      <w:r w:rsidRPr="003F2CC6">
        <w:rPr>
          <w:rFonts w:ascii="Arial" w:hAnsi="Arial" w:cs="Arial"/>
        </w:rPr>
        <w:t xml:space="preserve"> member of North West Housing Services Limited (NWHS) </w:t>
      </w:r>
      <w:r w:rsidR="00365D67" w:rsidRPr="003F2CC6">
        <w:rPr>
          <w:rFonts w:ascii="Arial" w:hAnsi="Arial" w:cs="Arial"/>
        </w:rPr>
        <w:t>procur</w:t>
      </w:r>
      <w:r w:rsidR="00365D67">
        <w:rPr>
          <w:rFonts w:ascii="Arial" w:hAnsi="Arial" w:cs="Arial"/>
        </w:rPr>
        <w:t>i</w:t>
      </w:r>
      <w:r w:rsidR="00365D67" w:rsidRPr="003F2CC6">
        <w:rPr>
          <w:rFonts w:ascii="Arial" w:hAnsi="Arial" w:cs="Arial"/>
        </w:rPr>
        <w:t>ng</w:t>
      </w:r>
      <w:r w:rsidRPr="003F2CC6">
        <w:rPr>
          <w:rFonts w:ascii="Arial" w:hAnsi="Arial" w:cs="Arial"/>
        </w:rPr>
        <w:t xml:space="preserve"> shared support services to efficiently and effectively deliver </w:t>
      </w:r>
      <w:r w:rsidR="00ED68AE">
        <w:rPr>
          <w:rFonts w:ascii="Arial" w:hAnsi="Arial" w:cs="Arial"/>
        </w:rPr>
        <w:t>s</w:t>
      </w:r>
      <w:r w:rsidRPr="003F2CC6">
        <w:rPr>
          <w:rFonts w:ascii="Arial" w:hAnsi="Arial" w:cs="Arial"/>
        </w:rPr>
        <w:t xml:space="preserve">ervices at a fixed cost and as a customer owned collaboration amongst small Registered Providers it also benefits from a share in the </w:t>
      </w:r>
      <w:r w:rsidR="00ED68AE">
        <w:rPr>
          <w:rFonts w:ascii="Arial" w:hAnsi="Arial" w:cs="Arial"/>
        </w:rPr>
        <w:t>s</w:t>
      </w:r>
      <w:r w:rsidRPr="003F2CC6">
        <w:rPr>
          <w:rFonts w:ascii="Arial" w:hAnsi="Arial" w:cs="Arial"/>
        </w:rPr>
        <w:t xml:space="preserve">urplus generated by NWHS. NWHS was successful in securing the VAT Cost Sharing Exemption and has subsequently deregistered for Value Added Tax purposes.  </w:t>
      </w:r>
      <w:r w:rsidR="00ED68AE">
        <w:rPr>
          <w:rFonts w:ascii="Arial" w:hAnsi="Arial" w:cs="Arial"/>
        </w:rPr>
        <w:t>T</w:t>
      </w:r>
      <w:r w:rsidRPr="003F2CC6">
        <w:rPr>
          <w:rFonts w:ascii="Arial" w:hAnsi="Arial" w:cs="Arial"/>
        </w:rPr>
        <w:t>his has facilitated increased surpluses attributable to members of NWHS and ensures increased value for money.</w:t>
      </w:r>
      <w:r w:rsidR="00E5163F">
        <w:rPr>
          <w:rFonts w:ascii="Arial" w:hAnsi="Arial" w:cs="Arial"/>
        </w:rPr>
        <w:t xml:space="preserve"> </w:t>
      </w:r>
      <w:r w:rsidR="002D3B43">
        <w:rPr>
          <w:rFonts w:ascii="Arial" w:hAnsi="Arial" w:cs="Arial"/>
        </w:rPr>
        <w:t>SBHA received a rebate for the year 2015/16 of £5,60</w:t>
      </w:r>
      <w:r w:rsidR="001C68C2">
        <w:rPr>
          <w:rFonts w:ascii="Arial" w:hAnsi="Arial" w:cs="Arial"/>
        </w:rPr>
        <w:t>5</w:t>
      </w:r>
      <w:r w:rsidR="00751125">
        <w:rPr>
          <w:rFonts w:ascii="Arial" w:hAnsi="Arial" w:cs="Arial"/>
        </w:rPr>
        <w:t xml:space="preserve"> and a rebate of £3,800 for 2016/17 saving a total of £28,404 over the last four years.  </w:t>
      </w:r>
    </w:p>
    <w:p w:rsidR="00751125" w:rsidRDefault="00751125" w:rsidP="003F2CC6">
      <w:pPr>
        <w:rPr>
          <w:rFonts w:ascii="Arial" w:hAnsi="Arial" w:cs="Arial"/>
        </w:rPr>
      </w:pPr>
    </w:p>
    <w:p w:rsidR="003F2CC6" w:rsidRDefault="003F2CC6" w:rsidP="003F2CC6">
      <w:pPr>
        <w:rPr>
          <w:rFonts w:ascii="Arial" w:hAnsi="Arial" w:cs="Arial"/>
        </w:rPr>
      </w:pPr>
      <w:r w:rsidRPr="003F2CC6">
        <w:rPr>
          <w:rFonts w:ascii="Arial" w:hAnsi="Arial" w:cs="Arial"/>
        </w:rPr>
        <w:t xml:space="preserve">In other partnership working, the Association collaborates with both larger and smaller </w:t>
      </w:r>
      <w:r w:rsidR="00E5163F">
        <w:rPr>
          <w:rFonts w:ascii="Arial" w:hAnsi="Arial" w:cs="Arial"/>
        </w:rPr>
        <w:t>h</w:t>
      </w:r>
      <w:r w:rsidRPr="003F2CC6">
        <w:rPr>
          <w:rFonts w:ascii="Arial" w:hAnsi="Arial" w:cs="Arial"/>
        </w:rPr>
        <w:t xml:space="preserve">ousing providers to share skills, expertise and joint training where appropriate to reduce the costs that would be incurred if working on a stand-alone basis.  </w:t>
      </w:r>
      <w:r w:rsidR="00414AC4">
        <w:rPr>
          <w:rFonts w:ascii="Arial" w:hAnsi="Arial" w:cs="Arial"/>
        </w:rPr>
        <w:t xml:space="preserve"> For example in May 2016 as part of the Community Based Housing Association group we have signed a contract with the Brabners to provide us with enhanced services, training for staff and fixed/shared  costs for review of policies.  </w:t>
      </w:r>
    </w:p>
    <w:p w:rsidR="00751125" w:rsidRDefault="00751125" w:rsidP="003F2CC6">
      <w:pPr>
        <w:rPr>
          <w:rFonts w:ascii="Arial" w:hAnsi="Arial" w:cs="Arial"/>
        </w:rPr>
      </w:pPr>
    </w:p>
    <w:p w:rsidR="009A1F2D" w:rsidRPr="009A1F2D" w:rsidRDefault="009A1F2D" w:rsidP="003F2CC6">
      <w:pPr>
        <w:rPr>
          <w:rFonts w:ascii="Arial" w:hAnsi="Arial" w:cs="Arial"/>
          <w:b/>
        </w:rPr>
      </w:pPr>
      <w:r w:rsidRPr="009A1F2D">
        <w:rPr>
          <w:rFonts w:ascii="Arial" w:hAnsi="Arial" w:cs="Arial"/>
          <w:b/>
        </w:rPr>
        <w:t>Planning for the Future</w:t>
      </w:r>
    </w:p>
    <w:p w:rsidR="003F2CC6" w:rsidRDefault="003F2CC6" w:rsidP="003F2CC6">
      <w:pPr>
        <w:rPr>
          <w:rFonts w:ascii="Arial" w:hAnsi="Arial" w:cs="Arial"/>
        </w:rPr>
      </w:pPr>
    </w:p>
    <w:p w:rsidR="00A623D2" w:rsidRDefault="00A623D2" w:rsidP="00A623D2">
      <w:pPr>
        <w:rPr>
          <w:rFonts w:ascii="Arial" w:hAnsi="Arial" w:cs="Arial"/>
        </w:rPr>
      </w:pPr>
      <w:r w:rsidRPr="00A623D2">
        <w:rPr>
          <w:rFonts w:ascii="Arial" w:hAnsi="Arial" w:cs="Arial"/>
        </w:rPr>
        <w:t>SBHA has approved a new 5 year business plan 2017-22 together with</w:t>
      </w:r>
      <w:r w:rsidR="001C68C2">
        <w:rPr>
          <w:rFonts w:ascii="Arial" w:hAnsi="Arial" w:cs="Arial"/>
        </w:rPr>
        <w:t xml:space="preserve"> a supporting </w:t>
      </w:r>
      <w:r w:rsidRPr="00A623D2">
        <w:rPr>
          <w:rFonts w:ascii="Arial" w:hAnsi="Arial" w:cs="Arial"/>
        </w:rPr>
        <w:t>a</w:t>
      </w:r>
      <w:r w:rsidR="001C68C2">
        <w:rPr>
          <w:rFonts w:ascii="Arial" w:hAnsi="Arial" w:cs="Arial"/>
        </w:rPr>
        <w:t xml:space="preserve">nd a longer term </w:t>
      </w:r>
      <w:r w:rsidRPr="00A623D2">
        <w:rPr>
          <w:rFonts w:ascii="Arial" w:hAnsi="Arial" w:cs="Arial"/>
        </w:rPr>
        <w:t>financial business plan.  We align the business plan with our annual budget and annual action plan to ensure that our resources are targeted at meeting our key objectives.</w:t>
      </w:r>
    </w:p>
    <w:p w:rsidR="009A1F2D" w:rsidRPr="00A623D2" w:rsidRDefault="009A1F2D" w:rsidP="00A623D2">
      <w:pPr>
        <w:rPr>
          <w:rFonts w:ascii="Arial" w:hAnsi="Arial" w:cs="Arial"/>
        </w:rPr>
      </w:pPr>
    </w:p>
    <w:p w:rsidR="00A623D2" w:rsidRDefault="000F61C0" w:rsidP="00A62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Asset Management </w:t>
      </w:r>
      <w:r w:rsidR="00A376E4">
        <w:rPr>
          <w:rFonts w:ascii="Arial" w:hAnsi="Arial" w:cs="Arial"/>
        </w:rPr>
        <w:t xml:space="preserve">Strategy </w:t>
      </w:r>
      <w:r w:rsidR="00A376E4" w:rsidRPr="00A623D2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been reviewed and </w:t>
      </w:r>
      <w:r w:rsidR="003368C8">
        <w:rPr>
          <w:rFonts w:ascii="Arial" w:hAnsi="Arial" w:cs="Arial"/>
        </w:rPr>
        <w:t>was</w:t>
      </w:r>
      <w:r w:rsidR="00A623D2" w:rsidRPr="00A62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approved in September 2017    </w:t>
      </w:r>
    </w:p>
    <w:p w:rsidR="009A1F2D" w:rsidRDefault="009A1F2D" w:rsidP="00A623D2">
      <w:pPr>
        <w:rPr>
          <w:rFonts w:ascii="Arial" w:hAnsi="Arial" w:cs="Arial"/>
        </w:rPr>
      </w:pPr>
    </w:p>
    <w:p w:rsidR="009A1F2D" w:rsidRDefault="009A1F2D" w:rsidP="00A623D2">
      <w:pPr>
        <w:rPr>
          <w:rFonts w:ascii="Arial" w:hAnsi="Arial" w:cs="Arial"/>
        </w:rPr>
      </w:pPr>
      <w:r>
        <w:rPr>
          <w:rFonts w:ascii="Arial" w:hAnsi="Arial" w:cs="Arial"/>
        </w:rPr>
        <w:t>The Association will:</w:t>
      </w:r>
    </w:p>
    <w:p w:rsidR="00597943" w:rsidRDefault="001573DE" w:rsidP="005979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0F61C0">
        <w:rPr>
          <w:rFonts w:ascii="Arial" w:hAnsi="Arial" w:cs="Arial"/>
        </w:rPr>
        <w:t xml:space="preserve"> ou</w:t>
      </w:r>
      <w:r w:rsidR="00597943">
        <w:rPr>
          <w:rFonts w:ascii="Arial" w:hAnsi="Arial" w:cs="Arial"/>
        </w:rPr>
        <w:t xml:space="preserve">r Asset Management Strategy </w:t>
      </w:r>
    </w:p>
    <w:p w:rsidR="00597943" w:rsidRPr="003368C8" w:rsidRDefault="003368C8" w:rsidP="00AE08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368C8">
        <w:rPr>
          <w:rFonts w:ascii="Arial" w:hAnsi="Arial" w:cs="Arial"/>
        </w:rPr>
        <w:t xml:space="preserve">Work with our new managing agents to </w:t>
      </w:r>
      <w:r>
        <w:rPr>
          <w:rFonts w:ascii="Arial" w:hAnsi="Arial" w:cs="Arial"/>
        </w:rPr>
        <w:t>c</w:t>
      </w:r>
      <w:r w:rsidR="00597943" w:rsidRPr="003368C8">
        <w:rPr>
          <w:rFonts w:ascii="Arial" w:hAnsi="Arial" w:cs="Arial"/>
        </w:rPr>
        <w:t>apture Net Present Value of our property assets in a method that is commensurate with the size of the organisation</w:t>
      </w:r>
    </w:p>
    <w:p w:rsidR="00CA191F" w:rsidRDefault="00CE236D" w:rsidP="00CE23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change of </w:t>
      </w:r>
      <w:r w:rsidR="000F61C0">
        <w:rPr>
          <w:rFonts w:ascii="Arial" w:hAnsi="Arial" w:cs="Arial"/>
        </w:rPr>
        <w:t>service at our sheltered scheme Hector Peterson Court</w:t>
      </w:r>
      <w:r>
        <w:rPr>
          <w:rFonts w:ascii="Arial" w:hAnsi="Arial" w:cs="Arial"/>
        </w:rPr>
        <w:t xml:space="preserve"> following consultation</w:t>
      </w:r>
    </w:p>
    <w:p w:rsidR="00D46A5B" w:rsidRDefault="000F61C0" w:rsidP="00D46A5B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Build on the youth employability programme to d</w:t>
      </w:r>
      <w:r w:rsidR="00597943" w:rsidRPr="00597943">
        <w:rPr>
          <w:rFonts w:ascii="Arial" w:hAnsi="Arial" w:cs="Arial"/>
        </w:rPr>
        <w:t xml:space="preserve">evelop and deliver employment and training programme for our customers </w:t>
      </w:r>
      <w:r w:rsidR="00597943">
        <w:rPr>
          <w:rFonts w:ascii="Arial" w:hAnsi="Arial" w:cs="Arial"/>
        </w:rPr>
        <w:t xml:space="preserve">to enable them to </w:t>
      </w:r>
      <w:r w:rsidR="00D46A5B">
        <w:rPr>
          <w:rFonts w:ascii="Arial" w:hAnsi="Arial" w:cs="Arial"/>
        </w:rPr>
        <w:t>improve their skills and capacity therefore, increasing the employability and incomes of our tenant.</w:t>
      </w:r>
    </w:p>
    <w:p w:rsidR="00CE236D" w:rsidRDefault="00CE236D" w:rsidP="009A1F2D">
      <w:pPr>
        <w:rPr>
          <w:rFonts w:ascii="Arial" w:hAnsi="Arial" w:cs="Arial"/>
          <w:b/>
        </w:rPr>
      </w:pPr>
    </w:p>
    <w:p w:rsidR="009A1F2D" w:rsidRDefault="009A1F2D" w:rsidP="009A1F2D">
      <w:pPr>
        <w:rPr>
          <w:rFonts w:ascii="Arial" w:hAnsi="Arial" w:cs="Arial"/>
          <w:b/>
        </w:rPr>
      </w:pPr>
      <w:r w:rsidRPr="00A623D2">
        <w:rPr>
          <w:rFonts w:ascii="Arial" w:hAnsi="Arial" w:cs="Arial"/>
          <w:b/>
        </w:rPr>
        <w:t>Meeting the Value for Money Standard – SBHA statement of compliance</w:t>
      </w:r>
    </w:p>
    <w:p w:rsidR="00CE236D" w:rsidRDefault="00CE236D" w:rsidP="009A1F2D">
      <w:pPr>
        <w:rPr>
          <w:rFonts w:ascii="Arial" w:hAnsi="Arial" w:cs="Arial"/>
          <w:b/>
        </w:rPr>
      </w:pPr>
    </w:p>
    <w:p w:rsidR="002622F4" w:rsidRDefault="00CE236D" w:rsidP="003F2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SBHA is assured that through this </w:t>
      </w:r>
      <w:r w:rsidR="00597943">
        <w:rPr>
          <w:rFonts w:ascii="Arial" w:hAnsi="Arial" w:cs="Arial"/>
        </w:rPr>
        <w:t>self-assessment</w:t>
      </w:r>
      <w:r>
        <w:rPr>
          <w:rFonts w:ascii="Arial" w:hAnsi="Arial" w:cs="Arial"/>
        </w:rPr>
        <w:t xml:space="preserve"> we are demonstrating how we meet the HCA’s Value for Money Standard by:</w:t>
      </w:r>
    </w:p>
    <w:p w:rsidR="00CE236D" w:rsidRDefault="00CE236D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236D">
        <w:rPr>
          <w:rFonts w:ascii="Arial" w:hAnsi="Arial" w:cs="Arial"/>
        </w:rPr>
        <w:t>Developing our 5 year Business Plan through comprehensive planning process</w:t>
      </w:r>
    </w:p>
    <w:p w:rsidR="00CE236D" w:rsidRDefault="00CE236D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Approving 30 year financial Business plan</w:t>
      </w:r>
    </w:p>
    <w:p w:rsidR="00CE236D" w:rsidRDefault="00CE236D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Setting an annual budget that links with the objectives of the organisation</w:t>
      </w:r>
    </w:p>
    <w:p w:rsidR="00CE236D" w:rsidRDefault="00CE236D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Setting annual performance targets</w:t>
      </w:r>
      <w:r w:rsidR="00CA191F">
        <w:rPr>
          <w:rFonts w:ascii="Arial" w:hAnsi="Arial" w:cs="Arial"/>
        </w:rPr>
        <w:t xml:space="preserve"> that are monitored on a quarterly basis by Board</w:t>
      </w:r>
    </w:p>
    <w:p w:rsidR="00CA191F" w:rsidRDefault="00CA191F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small providers bench marking club</w:t>
      </w:r>
    </w:p>
    <w:p w:rsidR="00CA191F" w:rsidRDefault="00CA191F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Tenant scrutiny</w:t>
      </w:r>
    </w:p>
    <w:p w:rsidR="00CA191F" w:rsidRDefault="00CA191F" w:rsidP="00CE2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financial management information provided to Board on a quarterly basis</w:t>
      </w:r>
    </w:p>
    <w:p w:rsidR="003368C8" w:rsidRDefault="00CE236D" w:rsidP="003368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368C8">
        <w:rPr>
          <w:rFonts w:ascii="Arial" w:hAnsi="Arial" w:cs="Arial"/>
        </w:rPr>
        <w:t>Having a robust approach to risk management</w:t>
      </w:r>
    </w:p>
    <w:p w:rsidR="003368C8" w:rsidRDefault="003368C8" w:rsidP="003368C8">
      <w:pPr>
        <w:rPr>
          <w:rFonts w:ascii="Arial" w:hAnsi="Arial" w:cs="Arial"/>
        </w:rPr>
      </w:pPr>
    </w:p>
    <w:p w:rsidR="003368C8" w:rsidRDefault="003368C8" w:rsidP="003368C8">
      <w:pPr>
        <w:rPr>
          <w:rFonts w:ascii="Arial" w:hAnsi="Arial" w:cs="Arial"/>
        </w:rPr>
      </w:pPr>
      <w:r>
        <w:rPr>
          <w:rFonts w:ascii="Arial" w:hAnsi="Arial" w:cs="Arial"/>
        </w:rPr>
        <w:t>A detailed value for money self-assessment can be found on our website from 30</w:t>
      </w:r>
      <w:r w:rsidRPr="005979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2017:</w:t>
      </w:r>
    </w:p>
    <w:p w:rsidR="003368C8" w:rsidRDefault="003368C8" w:rsidP="003368C8">
      <w:pPr>
        <w:rPr>
          <w:rFonts w:ascii="Arial" w:hAnsi="Arial" w:cs="Arial"/>
        </w:rPr>
      </w:pPr>
    </w:p>
    <w:p w:rsidR="003368C8" w:rsidRPr="003368C8" w:rsidRDefault="003D16A6" w:rsidP="003368C8">
      <w:pPr>
        <w:rPr>
          <w:rFonts w:ascii="Arial" w:hAnsi="Arial" w:cs="Arial"/>
        </w:rPr>
      </w:pPr>
      <w:hyperlink r:id="rId7" w:history="1">
        <w:r w:rsidR="003368C8" w:rsidRPr="00B5648B">
          <w:rPr>
            <w:rStyle w:val="Hyperlink"/>
            <w:rFonts w:ascii="Arial" w:hAnsi="Arial" w:cs="Arial"/>
          </w:rPr>
          <w:t>http://www.stevebikoha.org/policies-and-procedures/</w:t>
        </w:r>
      </w:hyperlink>
    </w:p>
    <w:sectPr w:rsidR="003368C8" w:rsidRPr="0033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43" w:rsidRDefault="002D3B43" w:rsidP="002D3B43">
      <w:r>
        <w:separator/>
      </w:r>
    </w:p>
  </w:endnote>
  <w:endnote w:type="continuationSeparator" w:id="0">
    <w:p w:rsidR="002D3B43" w:rsidRDefault="002D3B43" w:rsidP="002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0C" w:rsidRDefault="006D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732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B43" w:rsidRDefault="002D3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B43" w:rsidRDefault="002D3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0C" w:rsidRDefault="006D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43" w:rsidRDefault="002D3B43" w:rsidP="002D3B43">
      <w:r>
        <w:separator/>
      </w:r>
    </w:p>
  </w:footnote>
  <w:footnote w:type="continuationSeparator" w:id="0">
    <w:p w:rsidR="002D3B43" w:rsidRDefault="002D3B43" w:rsidP="002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0C" w:rsidRDefault="006D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0C" w:rsidRDefault="006D3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0C" w:rsidRDefault="006D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E302A"/>
    <w:multiLevelType w:val="hybridMultilevel"/>
    <w:tmpl w:val="CC50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6621"/>
    <w:multiLevelType w:val="hybridMultilevel"/>
    <w:tmpl w:val="AD787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22951"/>
    <w:multiLevelType w:val="hybridMultilevel"/>
    <w:tmpl w:val="B296DB82"/>
    <w:lvl w:ilvl="0" w:tplc="08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3">
    <w:nsid w:val="45F03EF8"/>
    <w:multiLevelType w:val="hybridMultilevel"/>
    <w:tmpl w:val="E0AC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213A6"/>
    <w:multiLevelType w:val="hybridMultilevel"/>
    <w:tmpl w:val="1CD8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0833"/>
    <w:multiLevelType w:val="hybridMultilevel"/>
    <w:tmpl w:val="BE881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63040"/>
    <w:multiLevelType w:val="hybridMultilevel"/>
    <w:tmpl w:val="A62C5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6"/>
    <w:rsid w:val="0000039F"/>
    <w:rsid w:val="0000305B"/>
    <w:rsid w:val="0000525A"/>
    <w:rsid w:val="00007786"/>
    <w:rsid w:val="000154AF"/>
    <w:rsid w:val="000162AB"/>
    <w:rsid w:val="00022F3C"/>
    <w:rsid w:val="00023105"/>
    <w:rsid w:val="00025071"/>
    <w:rsid w:val="0002618D"/>
    <w:rsid w:val="00031F5F"/>
    <w:rsid w:val="00033B46"/>
    <w:rsid w:val="00034439"/>
    <w:rsid w:val="00040E36"/>
    <w:rsid w:val="00041F7E"/>
    <w:rsid w:val="00044DAB"/>
    <w:rsid w:val="00053782"/>
    <w:rsid w:val="00060DF2"/>
    <w:rsid w:val="00062ECE"/>
    <w:rsid w:val="0006377D"/>
    <w:rsid w:val="00071F54"/>
    <w:rsid w:val="0007460C"/>
    <w:rsid w:val="000A1971"/>
    <w:rsid w:val="000A2E1E"/>
    <w:rsid w:val="000A5D3C"/>
    <w:rsid w:val="000B085D"/>
    <w:rsid w:val="000B215E"/>
    <w:rsid w:val="000B36D7"/>
    <w:rsid w:val="000B4DB3"/>
    <w:rsid w:val="000B5021"/>
    <w:rsid w:val="000B5226"/>
    <w:rsid w:val="000C240E"/>
    <w:rsid w:val="000C3F4F"/>
    <w:rsid w:val="000C579A"/>
    <w:rsid w:val="000C5F4B"/>
    <w:rsid w:val="000C7FB9"/>
    <w:rsid w:val="000D2233"/>
    <w:rsid w:val="000D29FE"/>
    <w:rsid w:val="000D2AAC"/>
    <w:rsid w:val="000D3558"/>
    <w:rsid w:val="000D51AE"/>
    <w:rsid w:val="000D7828"/>
    <w:rsid w:val="000E03A2"/>
    <w:rsid w:val="000E4077"/>
    <w:rsid w:val="000E61EE"/>
    <w:rsid w:val="000E7710"/>
    <w:rsid w:val="000F0A20"/>
    <w:rsid w:val="000F1C01"/>
    <w:rsid w:val="000F2775"/>
    <w:rsid w:val="000F61C0"/>
    <w:rsid w:val="00101013"/>
    <w:rsid w:val="001037C1"/>
    <w:rsid w:val="00105BED"/>
    <w:rsid w:val="00111936"/>
    <w:rsid w:val="00114CA1"/>
    <w:rsid w:val="001273EF"/>
    <w:rsid w:val="0013094B"/>
    <w:rsid w:val="00140C0B"/>
    <w:rsid w:val="001415ED"/>
    <w:rsid w:val="00143A6C"/>
    <w:rsid w:val="00144699"/>
    <w:rsid w:val="00150044"/>
    <w:rsid w:val="0015546D"/>
    <w:rsid w:val="00155F80"/>
    <w:rsid w:val="001573DE"/>
    <w:rsid w:val="00162F27"/>
    <w:rsid w:val="001632B4"/>
    <w:rsid w:val="0016429D"/>
    <w:rsid w:val="0017449F"/>
    <w:rsid w:val="00181DD6"/>
    <w:rsid w:val="001A3EEE"/>
    <w:rsid w:val="001A4E9E"/>
    <w:rsid w:val="001B5233"/>
    <w:rsid w:val="001B556C"/>
    <w:rsid w:val="001B7802"/>
    <w:rsid w:val="001C5ADF"/>
    <w:rsid w:val="001C63EB"/>
    <w:rsid w:val="001C68C2"/>
    <w:rsid w:val="001C7420"/>
    <w:rsid w:val="001D2AA6"/>
    <w:rsid w:val="001D4B49"/>
    <w:rsid w:val="001D5A34"/>
    <w:rsid w:val="001E2779"/>
    <w:rsid w:val="001E4A89"/>
    <w:rsid w:val="001F0A2B"/>
    <w:rsid w:val="001F3327"/>
    <w:rsid w:val="001F6547"/>
    <w:rsid w:val="001F7236"/>
    <w:rsid w:val="001F7322"/>
    <w:rsid w:val="002006DD"/>
    <w:rsid w:val="00204D50"/>
    <w:rsid w:val="0020533A"/>
    <w:rsid w:val="00205CC0"/>
    <w:rsid w:val="002108CF"/>
    <w:rsid w:val="002139FE"/>
    <w:rsid w:val="00214C33"/>
    <w:rsid w:val="00215F02"/>
    <w:rsid w:val="0022184C"/>
    <w:rsid w:val="002218C8"/>
    <w:rsid w:val="00221A51"/>
    <w:rsid w:val="00233B9E"/>
    <w:rsid w:val="002347BB"/>
    <w:rsid w:val="00234E61"/>
    <w:rsid w:val="002354FF"/>
    <w:rsid w:val="00236BAE"/>
    <w:rsid w:val="002409F6"/>
    <w:rsid w:val="0024224D"/>
    <w:rsid w:val="00245464"/>
    <w:rsid w:val="002464CC"/>
    <w:rsid w:val="00246B71"/>
    <w:rsid w:val="00256662"/>
    <w:rsid w:val="00256714"/>
    <w:rsid w:val="00261B57"/>
    <w:rsid w:val="002622F4"/>
    <w:rsid w:val="00263316"/>
    <w:rsid w:val="00264A10"/>
    <w:rsid w:val="00265968"/>
    <w:rsid w:val="00266958"/>
    <w:rsid w:val="00267BAA"/>
    <w:rsid w:val="002718D7"/>
    <w:rsid w:val="0027433B"/>
    <w:rsid w:val="00274FB9"/>
    <w:rsid w:val="002779D1"/>
    <w:rsid w:val="00281E71"/>
    <w:rsid w:val="002839A4"/>
    <w:rsid w:val="00290D37"/>
    <w:rsid w:val="002938E5"/>
    <w:rsid w:val="002938FE"/>
    <w:rsid w:val="00294101"/>
    <w:rsid w:val="002942A3"/>
    <w:rsid w:val="002945AB"/>
    <w:rsid w:val="00296837"/>
    <w:rsid w:val="002A041E"/>
    <w:rsid w:val="002B2278"/>
    <w:rsid w:val="002B506C"/>
    <w:rsid w:val="002B6780"/>
    <w:rsid w:val="002B7CE9"/>
    <w:rsid w:val="002C087F"/>
    <w:rsid w:val="002C1E39"/>
    <w:rsid w:val="002C2200"/>
    <w:rsid w:val="002C498A"/>
    <w:rsid w:val="002C6B6B"/>
    <w:rsid w:val="002D03BC"/>
    <w:rsid w:val="002D3B43"/>
    <w:rsid w:val="002E2226"/>
    <w:rsid w:val="002E3254"/>
    <w:rsid w:val="002E4607"/>
    <w:rsid w:val="002E46A2"/>
    <w:rsid w:val="002F10AA"/>
    <w:rsid w:val="002F1781"/>
    <w:rsid w:val="002F33DA"/>
    <w:rsid w:val="002F5B34"/>
    <w:rsid w:val="002F62ED"/>
    <w:rsid w:val="00307CD6"/>
    <w:rsid w:val="003100FC"/>
    <w:rsid w:val="00312E33"/>
    <w:rsid w:val="00314799"/>
    <w:rsid w:val="00315808"/>
    <w:rsid w:val="00317DC1"/>
    <w:rsid w:val="00324C3D"/>
    <w:rsid w:val="00331F6A"/>
    <w:rsid w:val="003326B9"/>
    <w:rsid w:val="00332A48"/>
    <w:rsid w:val="00335125"/>
    <w:rsid w:val="003367BE"/>
    <w:rsid w:val="003368C8"/>
    <w:rsid w:val="00342A8A"/>
    <w:rsid w:val="00347F11"/>
    <w:rsid w:val="0035027D"/>
    <w:rsid w:val="0035250D"/>
    <w:rsid w:val="00354F57"/>
    <w:rsid w:val="00365040"/>
    <w:rsid w:val="00365D67"/>
    <w:rsid w:val="0036612E"/>
    <w:rsid w:val="003668E9"/>
    <w:rsid w:val="003720ED"/>
    <w:rsid w:val="003723C8"/>
    <w:rsid w:val="00376061"/>
    <w:rsid w:val="003765C8"/>
    <w:rsid w:val="003803FA"/>
    <w:rsid w:val="00380A0F"/>
    <w:rsid w:val="00380CB6"/>
    <w:rsid w:val="00382BC2"/>
    <w:rsid w:val="003832DB"/>
    <w:rsid w:val="0038622A"/>
    <w:rsid w:val="00387752"/>
    <w:rsid w:val="00392B00"/>
    <w:rsid w:val="003948EC"/>
    <w:rsid w:val="003A0DFA"/>
    <w:rsid w:val="003B08A3"/>
    <w:rsid w:val="003B5717"/>
    <w:rsid w:val="003C3224"/>
    <w:rsid w:val="003C37ED"/>
    <w:rsid w:val="003C4190"/>
    <w:rsid w:val="003C789D"/>
    <w:rsid w:val="003D16A6"/>
    <w:rsid w:val="003D312A"/>
    <w:rsid w:val="003E19E4"/>
    <w:rsid w:val="003E2B8B"/>
    <w:rsid w:val="003E487D"/>
    <w:rsid w:val="003F131B"/>
    <w:rsid w:val="003F18F0"/>
    <w:rsid w:val="003F213E"/>
    <w:rsid w:val="003F2CC6"/>
    <w:rsid w:val="003F3340"/>
    <w:rsid w:val="003F473A"/>
    <w:rsid w:val="003F53A4"/>
    <w:rsid w:val="003F7A93"/>
    <w:rsid w:val="004028F7"/>
    <w:rsid w:val="00402D86"/>
    <w:rsid w:val="004116BF"/>
    <w:rsid w:val="00413BF7"/>
    <w:rsid w:val="00414AC4"/>
    <w:rsid w:val="0042172C"/>
    <w:rsid w:val="00422B67"/>
    <w:rsid w:val="004248B2"/>
    <w:rsid w:val="004248B3"/>
    <w:rsid w:val="00425B18"/>
    <w:rsid w:val="004318FB"/>
    <w:rsid w:val="00431E80"/>
    <w:rsid w:val="004339E8"/>
    <w:rsid w:val="00433D22"/>
    <w:rsid w:val="00436BDB"/>
    <w:rsid w:val="00443C71"/>
    <w:rsid w:val="00444B1B"/>
    <w:rsid w:val="004459E0"/>
    <w:rsid w:val="004500F8"/>
    <w:rsid w:val="00451A16"/>
    <w:rsid w:val="00454172"/>
    <w:rsid w:val="00456EDE"/>
    <w:rsid w:val="004738F9"/>
    <w:rsid w:val="00474F09"/>
    <w:rsid w:val="00475220"/>
    <w:rsid w:val="00475B09"/>
    <w:rsid w:val="004761EF"/>
    <w:rsid w:val="00477A68"/>
    <w:rsid w:val="00482008"/>
    <w:rsid w:val="0048418A"/>
    <w:rsid w:val="004947FE"/>
    <w:rsid w:val="004A1A5A"/>
    <w:rsid w:val="004A2F3D"/>
    <w:rsid w:val="004A69BA"/>
    <w:rsid w:val="004A75BB"/>
    <w:rsid w:val="004B43A3"/>
    <w:rsid w:val="004B4AEF"/>
    <w:rsid w:val="004C03E7"/>
    <w:rsid w:val="004C57F7"/>
    <w:rsid w:val="004D3BD7"/>
    <w:rsid w:val="004D504B"/>
    <w:rsid w:val="004F2BB8"/>
    <w:rsid w:val="004F3875"/>
    <w:rsid w:val="004F3DA1"/>
    <w:rsid w:val="004F4F83"/>
    <w:rsid w:val="004F58F4"/>
    <w:rsid w:val="005002EF"/>
    <w:rsid w:val="00500C98"/>
    <w:rsid w:val="00504E8A"/>
    <w:rsid w:val="005068EE"/>
    <w:rsid w:val="00507333"/>
    <w:rsid w:val="00514088"/>
    <w:rsid w:val="00522906"/>
    <w:rsid w:val="00523025"/>
    <w:rsid w:val="00530E75"/>
    <w:rsid w:val="00530F3A"/>
    <w:rsid w:val="00534954"/>
    <w:rsid w:val="00535CE6"/>
    <w:rsid w:val="005361A4"/>
    <w:rsid w:val="0054084C"/>
    <w:rsid w:val="0054239B"/>
    <w:rsid w:val="00547CC7"/>
    <w:rsid w:val="0055280E"/>
    <w:rsid w:val="00552E2F"/>
    <w:rsid w:val="005555BB"/>
    <w:rsid w:val="00561AF6"/>
    <w:rsid w:val="00565757"/>
    <w:rsid w:val="005674E2"/>
    <w:rsid w:val="0057022C"/>
    <w:rsid w:val="005713B3"/>
    <w:rsid w:val="0057411E"/>
    <w:rsid w:val="00575036"/>
    <w:rsid w:val="005809F1"/>
    <w:rsid w:val="00592756"/>
    <w:rsid w:val="0059628E"/>
    <w:rsid w:val="00597943"/>
    <w:rsid w:val="005A21B3"/>
    <w:rsid w:val="005A2886"/>
    <w:rsid w:val="005A67DE"/>
    <w:rsid w:val="005A6873"/>
    <w:rsid w:val="005A7A9F"/>
    <w:rsid w:val="005B14FD"/>
    <w:rsid w:val="005B2823"/>
    <w:rsid w:val="005B2C51"/>
    <w:rsid w:val="005B4779"/>
    <w:rsid w:val="005C284F"/>
    <w:rsid w:val="005C37B7"/>
    <w:rsid w:val="005C3D1D"/>
    <w:rsid w:val="005C4421"/>
    <w:rsid w:val="005C6FFF"/>
    <w:rsid w:val="005D6F10"/>
    <w:rsid w:val="005E1C0A"/>
    <w:rsid w:val="005F0C0E"/>
    <w:rsid w:val="005F1962"/>
    <w:rsid w:val="005F1F99"/>
    <w:rsid w:val="005F7E22"/>
    <w:rsid w:val="006010EB"/>
    <w:rsid w:val="00603FB7"/>
    <w:rsid w:val="00606648"/>
    <w:rsid w:val="0061200B"/>
    <w:rsid w:val="00612C24"/>
    <w:rsid w:val="00612E0A"/>
    <w:rsid w:val="00613523"/>
    <w:rsid w:val="00616752"/>
    <w:rsid w:val="00621A73"/>
    <w:rsid w:val="00624EFA"/>
    <w:rsid w:val="00624F99"/>
    <w:rsid w:val="00630914"/>
    <w:rsid w:val="0063172B"/>
    <w:rsid w:val="00631DA2"/>
    <w:rsid w:val="006328AD"/>
    <w:rsid w:val="00632C6E"/>
    <w:rsid w:val="006363BB"/>
    <w:rsid w:val="006375EA"/>
    <w:rsid w:val="0064086F"/>
    <w:rsid w:val="00644077"/>
    <w:rsid w:val="00644211"/>
    <w:rsid w:val="0064543B"/>
    <w:rsid w:val="00645B76"/>
    <w:rsid w:val="006470CC"/>
    <w:rsid w:val="00647720"/>
    <w:rsid w:val="00650806"/>
    <w:rsid w:val="00652ABE"/>
    <w:rsid w:val="006601C2"/>
    <w:rsid w:val="00660D3F"/>
    <w:rsid w:val="006619B3"/>
    <w:rsid w:val="00662562"/>
    <w:rsid w:val="00663B88"/>
    <w:rsid w:val="00666D07"/>
    <w:rsid w:val="00667F50"/>
    <w:rsid w:val="00671E3C"/>
    <w:rsid w:val="00673A2F"/>
    <w:rsid w:val="00677E7C"/>
    <w:rsid w:val="006818AE"/>
    <w:rsid w:val="00681A1F"/>
    <w:rsid w:val="00683B00"/>
    <w:rsid w:val="006862C6"/>
    <w:rsid w:val="006873D9"/>
    <w:rsid w:val="006879DC"/>
    <w:rsid w:val="0069003E"/>
    <w:rsid w:val="00692126"/>
    <w:rsid w:val="006936AA"/>
    <w:rsid w:val="0069580B"/>
    <w:rsid w:val="00695CF3"/>
    <w:rsid w:val="00696183"/>
    <w:rsid w:val="00697497"/>
    <w:rsid w:val="006A61F6"/>
    <w:rsid w:val="006B063F"/>
    <w:rsid w:val="006B57AF"/>
    <w:rsid w:val="006B738C"/>
    <w:rsid w:val="006B7890"/>
    <w:rsid w:val="006C0FCD"/>
    <w:rsid w:val="006C4FD4"/>
    <w:rsid w:val="006C6634"/>
    <w:rsid w:val="006D09C8"/>
    <w:rsid w:val="006D350C"/>
    <w:rsid w:val="006D743D"/>
    <w:rsid w:val="006E131B"/>
    <w:rsid w:val="006E222C"/>
    <w:rsid w:val="006E424F"/>
    <w:rsid w:val="006F2EF8"/>
    <w:rsid w:val="006F53DF"/>
    <w:rsid w:val="006F6088"/>
    <w:rsid w:val="00705F24"/>
    <w:rsid w:val="00707707"/>
    <w:rsid w:val="0070772C"/>
    <w:rsid w:val="007116E8"/>
    <w:rsid w:val="007125D5"/>
    <w:rsid w:val="00712E73"/>
    <w:rsid w:val="00713460"/>
    <w:rsid w:val="00713E17"/>
    <w:rsid w:val="007148CC"/>
    <w:rsid w:val="00716342"/>
    <w:rsid w:val="007179EE"/>
    <w:rsid w:val="007201EC"/>
    <w:rsid w:val="007255E7"/>
    <w:rsid w:val="007277CD"/>
    <w:rsid w:val="007300BA"/>
    <w:rsid w:val="0073038F"/>
    <w:rsid w:val="00732E36"/>
    <w:rsid w:val="00742319"/>
    <w:rsid w:val="0074486E"/>
    <w:rsid w:val="00746F0E"/>
    <w:rsid w:val="00751125"/>
    <w:rsid w:val="00752100"/>
    <w:rsid w:val="00753A1C"/>
    <w:rsid w:val="00756E15"/>
    <w:rsid w:val="00757DB3"/>
    <w:rsid w:val="00760589"/>
    <w:rsid w:val="00761DD0"/>
    <w:rsid w:val="00771632"/>
    <w:rsid w:val="00775822"/>
    <w:rsid w:val="00776B17"/>
    <w:rsid w:val="0078248A"/>
    <w:rsid w:val="007863FB"/>
    <w:rsid w:val="00786D82"/>
    <w:rsid w:val="007909A3"/>
    <w:rsid w:val="00793220"/>
    <w:rsid w:val="007935E3"/>
    <w:rsid w:val="00797AC2"/>
    <w:rsid w:val="007A0A7F"/>
    <w:rsid w:val="007A2F3E"/>
    <w:rsid w:val="007B080D"/>
    <w:rsid w:val="007B0CA8"/>
    <w:rsid w:val="007B2147"/>
    <w:rsid w:val="007B254C"/>
    <w:rsid w:val="007B4556"/>
    <w:rsid w:val="007B739A"/>
    <w:rsid w:val="007C0524"/>
    <w:rsid w:val="007C314F"/>
    <w:rsid w:val="007C5933"/>
    <w:rsid w:val="007C66C3"/>
    <w:rsid w:val="007C7E96"/>
    <w:rsid w:val="007D0FCE"/>
    <w:rsid w:val="007D14E9"/>
    <w:rsid w:val="007D5901"/>
    <w:rsid w:val="007D6BC5"/>
    <w:rsid w:val="007E150E"/>
    <w:rsid w:val="007E23D7"/>
    <w:rsid w:val="007E40ED"/>
    <w:rsid w:val="007F1187"/>
    <w:rsid w:val="007F3473"/>
    <w:rsid w:val="007F3B7B"/>
    <w:rsid w:val="007F6F4E"/>
    <w:rsid w:val="008049AE"/>
    <w:rsid w:val="008049F4"/>
    <w:rsid w:val="00805648"/>
    <w:rsid w:val="0080565D"/>
    <w:rsid w:val="00805663"/>
    <w:rsid w:val="00806BE3"/>
    <w:rsid w:val="00807645"/>
    <w:rsid w:val="00812D51"/>
    <w:rsid w:val="008135AC"/>
    <w:rsid w:val="0081419C"/>
    <w:rsid w:val="00820428"/>
    <w:rsid w:val="0082254C"/>
    <w:rsid w:val="008301AF"/>
    <w:rsid w:val="00833885"/>
    <w:rsid w:val="0083695B"/>
    <w:rsid w:val="00844980"/>
    <w:rsid w:val="00846593"/>
    <w:rsid w:val="00846BAF"/>
    <w:rsid w:val="00846C7A"/>
    <w:rsid w:val="0084733B"/>
    <w:rsid w:val="00853EB2"/>
    <w:rsid w:val="00854771"/>
    <w:rsid w:val="008573C2"/>
    <w:rsid w:val="0086057E"/>
    <w:rsid w:val="00863661"/>
    <w:rsid w:val="00863D6A"/>
    <w:rsid w:val="00864C9D"/>
    <w:rsid w:val="00866D42"/>
    <w:rsid w:val="00874C48"/>
    <w:rsid w:val="00874F13"/>
    <w:rsid w:val="00876E30"/>
    <w:rsid w:val="00880360"/>
    <w:rsid w:val="00881B48"/>
    <w:rsid w:val="008938FF"/>
    <w:rsid w:val="008975E3"/>
    <w:rsid w:val="00897C6B"/>
    <w:rsid w:val="008A0726"/>
    <w:rsid w:val="008A2A1C"/>
    <w:rsid w:val="008A2F90"/>
    <w:rsid w:val="008A3A80"/>
    <w:rsid w:val="008A4984"/>
    <w:rsid w:val="008A7E48"/>
    <w:rsid w:val="008A7FC6"/>
    <w:rsid w:val="008B145D"/>
    <w:rsid w:val="008B2A76"/>
    <w:rsid w:val="008B673E"/>
    <w:rsid w:val="008C0133"/>
    <w:rsid w:val="008C0B87"/>
    <w:rsid w:val="008C24D1"/>
    <w:rsid w:val="008C4412"/>
    <w:rsid w:val="008C5C92"/>
    <w:rsid w:val="008C731C"/>
    <w:rsid w:val="008C7621"/>
    <w:rsid w:val="008D3C3E"/>
    <w:rsid w:val="008D4911"/>
    <w:rsid w:val="008E03A4"/>
    <w:rsid w:val="008E4463"/>
    <w:rsid w:val="008F1619"/>
    <w:rsid w:val="009007FC"/>
    <w:rsid w:val="00905441"/>
    <w:rsid w:val="00906431"/>
    <w:rsid w:val="00906E2E"/>
    <w:rsid w:val="0091098F"/>
    <w:rsid w:val="0091571C"/>
    <w:rsid w:val="00915D39"/>
    <w:rsid w:val="009235E7"/>
    <w:rsid w:val="00927141"/>
    <w:rsid w:val="00930B54"/>
    <w:rsid w:val="00935212"/>
    <w:rsid w:val="0093528F"/>
    <w:rsid w:val="00945ADC"/>
    <w:rsid w:val="009468B8"/>
    <w:rsid w:val="00952F9D"/>
    <w:rsid w:val="00955DD4"/>
    <w:rsid w:val="0096538E"/>
    <w:rsid w:val="00972613"/>
    <w:rsid w:val="00977FE5"/>
    <w:rsid w:val="009825A7"/>
    <w:rsid w:val="00982D05"/>
    <w:rsid w:val="00985AD1"/>
    <w:rsid w:val="0099130B"/>
    <w:rsid w:val="009943C6"/>
    <w:rsid w:val="009961DE"/>
    <w:rsid w:val="009A1F2D"/>
    <w:rsid w:val="009A43CA"/>
    <w:rsid w:val="009A4E24"/>
    <w:rsid w:val="009A774D"/>
    <w:rsid w:val="009B0710"/>
    <w:rsid w:val="009B0936"/>
    <w:rsid w:val="009B2374"/>
    <w:rsid w:val="009B4B8E"/>
    <w:rsid w:val="009C5B6D"/>
    <w:rsid w:val="009D0C59"/>
    <w:rsid w:val="009D40AF"/>
    <w:rsid w:val="009E0F1A"/>
    <w:rsid w:val="009E122B"/>
    <w:rsid w:val="009E194D"/>
    <w:rsid w:val="009E3439"/>
    <w:rsid w:val="009E3624"/>
    <w:rsid w:val="009E4560"/>
    <w:rsid w:val="009E486D"/>
    <w:rsid w:val="009E64BD"/>
    <w:rsid w:val="009F0FAC"/>
    <w:rsid w:val="009F3263"/>
    <w:rsid w:val="009F5BD5"/>
    <w:rsid w:val="00A03335"/>
    <w:rsid w:val="00A04610"/>
    <w:rsid w:val="00A10963"/>
    <w:rsid w:val="00A10D91"/>
    <w:rsid w:val="00A173DA"/>
    <w:rsid w:val="00A21E52"/>
    <w:rsid w:val="00A24468"/>
    <w:rsid w:val="00A2561E"/>
    <w:rsid w:val="00A26AD5"/>
    <w:rsid w:val="00A27D54"/>
    <w:rsid w:val="00A323B9"/>
    <w:rsid w:val="00A359EA"/>
    <w:rsid w:val="00A364C2"/>
    <w:rsid w:val="00A376E4"/>
    <w:rsid w:val="00A37EC1"/>
    <w:rsid w:val="00A44C69"/>
    <w:rsid w:val="00A46309"/>
    <w:rsid w:val="00A50993"/>
    <w:rsid w:val="00A526D9"/>
    <w:rsid w:val="00A623D2"/>
    <w:rsid w:val="00A63F7A"/>
    <w:rsid w:val="00A63FF5"/>
    <w:rsid w:val="00A65251"/>
    <w:rsid w:val="00A66239"/>
    <w:rsid w:val="00A70664"/>
    <w:rsid w:val="00A70E37"/>
    <w:rsid w:val="00A722D6"/>
    <w:rsid w:val="00A72F55"/>
    <w:rsid w:val="00A73247"/>
    <w:rsid w:val="00A76A79"/>
    <w:rsid w:val="00A801D1"/>
    <w:rsid w:val="00A8324F"/>
    <w:rsid w:val="00A83307"/>
    <w:rsid w:val="00A8579D"/>
    <w:rsid w:val="00A9134F"/>
    <w:rsid w:val="00A93EBC"/>
    <w:rsid w:val="00A9405D"/>
    <w:rsid w:val="00AA0FE2"/>
    <w:rsid w:val="00AA1FAC"/>
    <w:rsid w:val="00AA46B6"/>
    <w:rsid w:val="00AB7B0F"/>
    <w:rsid w:val="00AC02FC"/>
    <w:rsid w:val="00AC19BE"/>
    <w:rsid w:val="00AC6191"/>
    <w:rsid w:val="00AC7E7B"/>
    <w:rsid w:val="00AD058D"/>
    <w:rsid w:val="00AD1889"/>
    <w:rsid w:val="00AD47EC"/>
    <w:rsid w:val="00AD7832"/>
    <w:rsid w:val="00AE27AC"/>
    <w:rsid w:val="00AE2AA2"/>
    <w:rsid w:val="00AE3C41"/>
    <w:rsid w:val="00AE4562"/>
    <w:rsid w:val="00AE4D96"/>
    <w:rsid w:val="00AF1E89"/>
    <w:rsid w:val="00AF7B3B"/>
    <w:rsid w:val="00B038F9"/>
    <w:rsid w:val="00B060B5"/>
    <w:rsid w:val="00B103B4"/>
    <w:rsid w:val="00B10767"/>
    <w:rsid w:val="00B1713D"/>
    <w:rsid w:val="00B17ED3"/>
    <w:rsid w:val="00B2048A"/>
    <w:rsid w:val="00B21F00"/>
    <w:rsid w:val="00B25CF2"/>
    <w:rsid w:val="00B3300B"/>
    <w:rsid w:val="00B34E16"/>
    <w:rsid w:val="00B41AAA"/>
    <w:rsid w:val="00B4727E"/>
    <w:rsid w:val="00B52C0B"/>
    <w:rsid w:val="00B57FF6"/>
    <w:rsid w:val="00B63EF6"/>
    <w:rsid w:val="00B65D5A"/>
    <w:rsid w:val="00B67F5F"/>
    <w:rsid w:val="00B71412"/>
    <w:rsid w:val="00B71418"/>
    <w:rsid w:val="00B745A9"/>
    <w:rsid w:val="00B74660"/>
    <w:rsid w:val="00B754A3"/>
    <w:rsid w:val="00B76438"/>
    <w:rsid w:val="00B80EB0"/>
    <w:rsid w:val="00B826B7"/>
    <w:rsid w:val="00B839B8"/>
    <w:rsid w:val="00B87B8C"/>
    <w:rsid w:val="00B91209"/>
    <w:rsid w:val="00B96104"/>
    <w:rsid w:val="00B973A6"/>
    <w:rsid w:val="00BA277F"/>
    <w:rsid w:val="00BA4C9F"/>
    <w:rsid w:val="00BA536D"/>
    <w:rsid w:val="00BA6EF7"/>
    <w:rsid w:val="00BB20D8"/>
    <w:rsid w:val="00BB2F83"/>
    <w:rsid w:val="00BB4A7E"/>
    <w:rsid w:val="00BB6A7F"/>
    <w:rsid w:val="00BC06A4"/>
    <w:rsid w:val="00BC2B9C"/>
    <w:rsid w:val="00BC4924"/>
    <w:rsid w:val="00BC4C7A"/>
    <w:rsid w:val="00BC4CCF"/>
    <w:rsid w:val="00BC6F64"/>
    <w:rsid w:val="00BC7414"/>
    <w:rsid w:val="00BD01BB"/>
    <w:rsid w:val="00BD1F4F"/>
    <w:rsid w:val="00BD59A2"/>
    <w:rsid w:val="00BE125A"/>
    <w:rsid w:val="00BE4C2E"/>
    <w:rsid w:val="00BE5A95"/>
    <w:rsid w:val="00BF48B1"/>
    <w:rsid w:val="00C04700"/>
    <w:rsid w:val="00C04C03"/>
    <w:rsid w:val="00C14664"/>
    <w:rsid w:val="00C14D03"/>
    <w:rsid w:val="00C15035"/>
    <w:rsid w:val="00C20F23"/>
    <w:rsid w:val="00C2277F"/>
    <w:rsid w:val="00C25BFB"/>
    <w:rsid w:val="00C33FB2"/>
    <w:rsid w:val="00C34798"/>
    <w:rsid w:val="00C40DEB"/>
    <w:rsid w:val="00C41C8D"/>
    <w:rsid w:val="00C42A8D"/>
    <w:rsid w:val="00C43863"/>
    <w:rsid w:val="00C44B6F"/>
    <w:rsid w:val="00C52481"/>
    <w:rsid w:val="00C53266"/>
    <w:rsid w:val="00C6061C"/>
    <w:rsid w:val="00C60A93"/>
    <w:rsid w:val="00C61F80"/>
    <w:rsid w:val="00C63DAE"/>
    <w:rsid w:val="00C66E3F"/>
    <w:rsid w:val="00C66F34"/>
    <w:rsid w:val="00C671BE"/>
    <w:rsid w:val="00C73DA5"/>
    <w:rsid w:val="00C84A01"/>
    <w:rsid w:val="00C8656F"/>
    <w:rsid w:val="00C86EA8"/>
    <w:rsid w:val="00C903C3"/>
    <w:rsid w:val="00C938D9"/>
    <w:rsid w:val="00C93D56"/>
    <w:rsid w:val="00C947E5"/>
    <w:rsid w:val="00C962D3"/>
    <w:rsid w:val="00CA0930"/>
    <w:rsid w:val="00CA191F"/>
    <w:rsid w:val="00CA3D42"/>
    <w:rsid w:val="00CA5E5A"/>
    <w:rsid w:val="00CA6A36"/>
    <w:rsid w:val="00CA72B4"/>
    <w:rsid w:val="00CB5A18"/>
    <w:rsid w:val="00CB5C44"/>
    <w:rsid w:val="00CB7B82"/>
    <w:rsid w:val="00CC5108"/>
    <w:rsid w:val="00CC7E81"/>
    <w:rsid w:val="00CD04AF"/>
    <w:rsid w:val="00CD3F30"/>
    <w:rsid w:val="00CD653E"/>
    <w:rsid w:val="00CD7D77"/>
    <w:rsid w:val="00CE116B"/>
    <w:rsid w:val="00CE236D"/>
    <w:rsid w:val="00CE3E07"/>
    <w:rsid w:val="00CE4831"/>
    <w:rsid w:val="00CF0DA7"/>
    <w:rsid w:val="00CF1778"/>
    <w:rsid w:val="00CF3BCA"/>
    <w:rsid w:val="00CF6992"/>
    <w:rsid w:val="00CF72E2"/>
    <w:rsid w:val="00CF7829"/>
    <w:rsid w:val="00D05726"/>
    <w:rsid w:val="00D14EDC"/>
    <w:rsid w:val="00D1513E"/>
    <w:rsid w:val="00D20233"/>
    <w:rsid w:val="00D24F90"/>
    <w:rsid w:val="00D25B38"/>
    <w:rsid w:val="00D32E3B"/>
    <w:rsid w:val="00D3773E"/>
    <w:rsid w:val="00D42730"/>
    <w:rsid w:val="00D42C0C"/>
    <w:rsid w:val="00D42DB2"/>
    <w:rsid w:val="00D45D15"/>
    <w:rsid w:val="00D46A5B"/>
    <w:rsid w:val="00D541E2"/>
    <w:rsid w:val="00D600BB"/>
    <w:rsid w:val="00D61275"/>
    <w:rsid w:val="00D64022"/>
    <w:rsid w:val="00D648E0"/>
    <w:rsid w:val="00D65569"/>
    <w:rsid w:val="00D67671"/>
    <w:rsid w:val="00D81D35"/>
    <w:rsid w:val="00D83BEE"/>
    <w:rsid w:val="00D85B7D"/>
    <w:rsid w:val="00D8691F"/>
    <w:rsid w:val="00D870BD"/>
    <w:rsid w:val="00D87E6C"/>
    <w:rsid w:val="00D91C1B"/>
    <w:rsid w:val="00D943ED"/>
    <w:rsid w:val="00DA2A1D"/>
    <w:rsid w:val="00DA2E07"/>
    <w:rsid w:val="00DA533F"/>
    <w:rsid w:val="00DA5696"/>
    <w:rsid w:val="00DA654A"/>
    <w:rsid w:val="00DB1041"/>
    <w:rsid w:val="00DB286B"/>
    <w:rsid w:val="00DB335F"/>
    <w:rsid w:val="00DB51D3"/>
    <w:rsid w:val="00DB5FFD"/>
    <w:rsid w:val="00DC16B1"/>
    <w:rsid w:val="00DC2073"/>
    <w:rsid w:val="00DC2FA3"/>
    <w:rsid w:val="00DC402B"/>
    <w:rsid w:val="00DC402D"/>
    <w:rsid w:val="00DC68E4"/>
    <w:rsid w:val="00DC763F"/>
    <w:rsid w:val="00DC7A5E"/>
    <w:rsid w:val="00DD117D"/>
    <w:rsid w:val="00DD18DD"/>
    <w:rsid w:val="00DD1BFA"/>
    <w:rsid w:val="00DD4616"/>
    <w:rsid w:val="00DD4DDE"/>
    <w:rsid w:val="00DD6FDB"/>
    <w:rsid w:val="00DE0A22"/>
    <w:rsid w:val="00DE10CC"/>
    <w:rsid w:val="00DE55F1"/>
    <w:rsid w:val="00DF0178"/>
    <w:rsid w:val="00DF132B"/>
    <w:rsid w:val="00DF152D"/>
    <w:rsid w:val="00DF2C76"/>
    <w:rsid w:val="00DF7348"/>
    <w:rsid w:val="00E00321"/>
    <w:rsid w:val="00E0217E"/>
    <w:rsid w:val="00E02381"/>
    <w:rsid w:val="00E03627"/>
    <w:rsid w:val="00E03DA7"/>
    <w:rsid w:val="00E07DCD"/>
    <w:rsid w:val="00E124BC"/>
    <w:rsid w:val="00E127ED"/>
    <w:rsid w:val="00E12875"/>
    <w:rsid w:val="00E1690F"/>
    <w:rsid w:val="00E222B9"/>
    <w:rsid w:val="00E24B96"/>
    <w:rsid w:val="00E302F4"/>
    <w:rsid w:val="00E3264A"/>
    <w:rsid w:val="00E326F5"/>
    <w:rsid w:val="00E3596F"/>
    <w:rsid w:val="00E37839"/>
    <w:rsid w:val="00E4316C"/>
    <w:rsid w:val="00E452EF"/>
    <w:rsid w:val="00E47CA8"/>
    <w:rsid w:val="00E50F2D"/>
    <w:rsid w:val="00E5163F"/>
    <w:rsid w:val="00E51969"/>
    <w:rsid w:val="00E52576"/>
    <w:rsid w:val="00E5398A"/>
    <w:rsid w:val="00E53ED7"/>
    <w:rsid w:val="00E55492"/>
    <w:rsid w:val="00E55F22"/>
    <w:rsid w:val="00E574D8"/>
    <w:rsid w:val="00E57861"/>
    <w:rsid w:val="00E60880"/>
    <w:rsid w:val="00E61A45"/>
    <w:rsid w:val="00E664FB"/>
    <w:rsid w:val="00E673EF"/>
    <w:rsid w:val="00E67883"/>
    <w:rsid w:val="00E715F9"/>
    <w:rsid w:val="00E71826"/>
    <w:rsid w:val="00E71CA7"/>
    <w:rsid w:val="00E72EC9"/>
    <w:rsid w:val="00E73674"/>
    <w:rsid w:val="00E771F9"/>
    <w:rsid w:val="00E77528"/>
    <w:rsid w:val="00E82F8D"/>
    <w:rsid w:val="00E84F36"/>
    <w:rsid w:val="00E90E40"/>
    <w:rsid w:val="00E93126"/>
    <w:rsid w:val="00E94950"/>
    <w:rsid w:val="00E95D29"/>
    <w:rsid w:val="00EA0BBA"/>
    <w:rsid w:val="00EA7E60"/>
    <w:rsid w:val="00EB352B"/>
    <w:rsid w:val="00EB5FCB"/>
    <w:rsid w:val="00EC01AA"/>
    <w:rsid w:val="00EC0623"/>
    <w:rsid w:val="00EC19C5"/>
    <w:rsid w:val="00EC4CD5"/>
    <w:rsid w:val="00ED46CB"/>
    <w:rsid w:val="00ED68AE"/>
    <w:rsid w:val="00EE40EE"/>
    <w:rsid w:val="00EE6D5B"/>
    <w:rsid w:val="00EF187B"/>
    <w:rsid w:val="00EF435C"/>
    <w:rsid w:val="00EF4757"/>
    <w:rsid w:val="00EF6B59"/>
    <w:rsid w:val="00EF6BC3"/>
    <w:rsid w:val="00EF7053"/>
    <w:rsid w:val="00EF7DD0"/>
    <w:rsid w:val="00F03AB3"/>
    <w:rsid w:val="00F053AB"/>
    <w:rsid w:val="00F0716E"/>
    <w:rsid w:val="00F10501"/>
    <w:rsid w:val="00F12857"/>
    <w:rsid w:val="00F137F8"/>
    <w:rsid w:val="00F13DD3"/>
    <w:rsid w:val="00F16BA7"/>
    <w:rsid w:val="00F17248"/>
    <w:rsid w:val="00F17A18"/>
    <w:rsid w:val="00F2379C"/>
    <w:rsid w:val="00F26314"/>
    <w:rsid w:val="00F308A1"/>
    <w:rsid w:val="00F3162B"/>
    <w:rsid w:val="00F31920"/>
    <w:rsid w:val="00F3374E"/>
    <w:rsid w:val="00F346DB"/>
    <w:rsid w:val="00F36878"/>
    <w:rsid w:val="00F375AB"/>
    <w:rsid w:val="00F40534"/>
    <w:rsid w:val="00F448CE"/>
    <w:rsid w:val="00F4577D"/>
    <w:rsid w:val="00F46837"/>
    <w:rsid w:val="00F46D3C"/>
    <w:rsid w:val="00F4773F"/>
    <w:rsid w:val="00F50340"/>
    <w:rsid w:val="00F51CB1"/>
    <w:rsid w:val="00F5294D"/>
    <w:rsid w:val="00F60107"/>
    <w:rsid w:val="00F6224F"/>
    <w:rsid w:val="00F62937"/>
    <w:rsid w:val="00F630D2"/>
    <w:rsid w:val="00F65FBA"/>
    <w:rsid w:val="00F67D38"/>
    <w:rsid w:val="00F70174"/>
    <w:rsid w:val="00F70431"/>
    <w:rsid w:val="00F70458"/>
    <w:rsid w:val="00F73209"/>
    <w:rsid w:val="00F74C21"/>
    <w:rsid w:val="00F754AF"/>
    <w:rsid w:val="00F77C1B"/>
    <w:rsid w:val="00F83826"/>
    <w:rsid w:val="00F84E2E"/>
    <w:rsid w:val="00F85068"/>
    <w:rsid w:val="00F85C7F"/>
    <w:rsid w:val="00F87EAA"/>
    <w:rsid w:val="00F9434B"/>
    <w:rsid w:val="00F97E4D"/>
    <w:rsid w:val="00FA275B"/>
    <w:rsid w:val="00FA55E5"/>
    <w:rsid w:val="00FA69A2"/>
    <w:rsid w:val="00FA6E56"/>
    <w:rsid w:val="00FB237A"/>
    <w:rsid w:val="00FB27BF"/>
    <w:rsid w:val="00FB3EE0"/>
    <w:rsid w:val="00FB7687"/>
    <w:rsid w:val="00FC0C22"/>
    <w:rsid w:val="00FC58C2"/>
    <w:rsid w:val="00FD2999"/>
    <w:rsid w:val="00FD32A0"/>
    <w:rsid w:val="00FD36B3"/>
    <w:rsid w:val="00FD5646"/>
    <w:rsid w:val="00FD57BD"/>
    <w:rsid w:val="00FE0988"/>
    <w:rsid w:val="00FE0C30"/>
    <w:rsid w:val="00FE21E9"/>
    <w:rsid w:val="00FE3072"/>
    <w:rsid w:val="00FE5615"/>
    <w:rsid w:val="00FE601C"/>
    <w:rsid w:val="00FF11F0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92CCE77-D9C8-4BC9-A459-501ECDF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B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1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evebikoha.org/policies-and-procedur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Gore</dc:creator>
  <cp:keywords/>
  <dc:description/>
  <cp:lastModifiedBy>Tracey Gore</cp:lastModifiedBy>
  <cp:revision>2</cp:revision>
  <cp:lastPrinted>2017-09-04T09:37:00Z</cp:lastPrinted>
  <dcterms:created xsi:type="dcterms:W3CDTF">2017-09-08T13:21:00Z</dcterms:created>
  <dcterms:modified xsi:type="dcterms:W3CDTF">2017-09-08T13:21:00Z</dcterms:modified>
</cp:coreProperties>
</file>